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bCs/>
          <w:sz w:val="28"/>
          <w:szCs w:val="28"/>
        </w:rPr>
      </w:pPr>
      <w:r>
        <w:rPr>
          <w:rFonts w:hint="eastAsia"/>
        </w:rPr>
        <w:t xml:space="preserve">                                             </w:t>
      </w:r>
      <w:r>
        <w:drawing>
          <wp:inline distT="0" distB="0" distL="114300" distR="114300">
            <wp:extent cx="893445" cy="1261745"/>
            <wp:effectExtent l="0" t="0" r="1905" b="146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 cstate="print"/>
                    <a:stretch>
                      <a:fillRect/>
                    </a:stretch>
                  </pic:blipFill>
                  <pic:spPr>
                    <a:xfrm>
                      <a:off x="0" y="0"/>
                      <a:ext cx="893445" cy="1261745"/>
                    </a:xfrm>
                    <a:prstGeom prst="rect">
                      <a:avLst/>
                    </a:prstGeom>
                    <a:noFill/>
                    <a:ln w="9525">
                      <a:noFill/>
                    </a:ln>
                  </pic:spPr>
                </pic:pic>
              </a:graphicData>
            </a:graphic>
          </wp:inline>
        </w:drawing>
      </w:r>
      <w:r>
        <w:rPr>
          <w:rFonts w:hint="eastAsia"/>
        </w:rPr>
        <w:t xml:space="preserve">  </w:t>
      </w:r>
      <w:r>
        <w:drawing>
          <wp:inline distT="0" distB="0" distL="114300" distR="114300">
            <wp:extent cx="2609850" cy="70485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2609850" cy="704850"/>
                    </a:xfrm>
                    <a:prstGeom prst="rect">
                      <a:avLst/>
                    </a:prstGeom>
                    <a:noFill/>
                    <a:ln>
                      <a:noFill/>
                    </a:ln>
                  </pic:spPr>
                </pic:pic>
              </a:graphicData>
            </a:graphic>
          </wp:inline>
        </w:drawing>
      </w:r>
      <w:r>
        <w:rPr>
          <w:rFonts w:hint="eastAsia"/>
        </w:rPr>
        <w:t xml:space="preserve">                                </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 xml:space="preserve">                            </w:t>
      </w:r>
    </w:p>
    <w:p>
      <w:pPr>
        <w:rPr>
          <w:rFonts w:ascii="微软雅黑" w:hAnsi="微软雅黑" w:eastAsia="微软雅黑" w:cs="微软雅黑"/>
          <w:b/>
          <w:bCs/>
          <w:sz w:val="28"/>
          <w:szCs w:val="28"/>
        </w:rPr>
      </w:pPr>
    </w:p>
    <w:p>
      <w:pPr>
        <w:rPr>
          <w:rFonts w:ascii="微软雅黑" w:hAnsi="微软雅黑" w:eastAsia="微软雅黑" w:cs="微软雅黑"/>
          <w:b/>
          <w:bCs/>
          <w:sz w:val="52"/>
          <w:szCs w:val="52"/>
        </w:rPr>
      </w:pPr>
      <w:r>
        <w:rPr>
          <w:rFonts w:hint="eastAsia" w:ascii="微软雅黑" w:hAnsi="微软雅黑" w:eastAsia="微软雅黑" w:cs="微软雅黑"/>
          <w:b/>
          <w:bCs/>
          <w:sz w:val="30"/>
          <w:szCs w:val="30"/>
        </w:rPr>
        <w:t xml:space="preserve">     </w:t>
      </w:r>
      <w:r>
        <w:rPr>
          <w:rFonts w:hint="eastAsia" w:ascii="微软雅黑" w:hAnsi="微软雅黑" w:eastAsia="微软雅黑" w:cs="微软雅黑"/>
          <w:b/>
          <w:bCs/>
          <w:sz w:val="52"/>
          <w:szCs w:val="52"/>
        </w:rPr>
        <w:t>2021</w:t>
      </w:r>
      <w:r>
        <w:rPr>
          <w:rFonts w:hint="eastAsia" w:ascii="微软雅黑" w:hAnsi="微软雅黑" w:eastAsia="微软雅黑" w:cs="微软雅黑"/>
          <w:b/>
          <w:bCs/>
          <w:sz w:val="52"/>
          <w:szCs w:val="52"/>
          <w:lang w:val="en-US" w:eastAsia="zh-CN"/>
        </w:rPr>
        <w:t>泰国</w:t>
      </w:r>
      <w:r>
        <w:rPr>
          <w:rFonts w:hint="eastAsia" w:ascii="微软雅黑" w:hAnsi="微软雅黑" w:eastAsia="微软雅黑" w:cs="微软雅黑"/>
          <w:b/>
          <w:bCs/>
          <w:sz w:val="52"/>
          <w:szCs w:val="52"/>
        </w:rPr>
        <w:t>宣素那他皇家大学招生简章</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ind w:firstLine="960" w:firstLineChars="200"/>
        <w:rPr>
          <w:rFonts w:hint="default"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rPr>
        <w:t>中英泰多语言全面培养硕士</w:t>
      </w:r>
      <w:r>
        <w:rPr>
          <w:rFonts w:hint="eastAsia" w:ascii="微软雅黑" w:hAnsi="微软雅黑" w:eastAsia="微软雅黑" w:cs="微软雅黑"/>
          <w:b/>
          <w:bCs/>
          <w:sz w:val="48"/>
          <w:szCs w:val="48"/>
          <w:lang w:eastAsia="zh-CN"/>
        </w:rPr>
        <w:t>、</w:t>
      </w:r>
      <w:r>
        <w:rPr>
          <w:rFonts w:hint="eastAsia" w:ascii="微软雅黑" w:hAnsi="微软雅黑" w:eastAsia="微软雅黑" w:cs="微软雅黑"/>
          <w:b/>
          <w:bCs/>
          <w:sz w:val="48"/>
          <w:szCs w:val="48"/>
          <w:lang w:val="en-US" w:eastAsia="zh-CN"/>
        </w:rPr>
        <w:t>博士</w:t>
      </w:r>
      <w:r>
        <w:rPr>
          <w:rFonts w:hint="eastAsia" w:ascii="微软雅黑" w:hAnsi="微软雅黑" w:eastAsia="微软雅黑" w:cs="微软雅黑"/>
          <w:b/>
          <w:bCs/>
          <w:sz w:val="48"/>
          <w:szCs w:val="48"/>
        </w:rPr>
        <w:t xml:space="preserve">项目 </w:t>
      </w:r>
      <w:r>
        <w:rPr>
          <w:rFonts w:hint="eastAsia" w:ascii="微软雅黑" w:hAnsi="微软雅黑" w:eastAsia="微软雅黑" w:cs="微软雅黑"/>
          <w:b/>
          <w:bCs/>
          <w:sz w:val="48"/>
          <w:szCs w:val="48"/>
          <w:lang w:val="en-US" w:eastAsia="zh-CN"/>
        </w:rPr>
        <w:t xml:space="preserve">     </w:t>
      </w:r>
    </w:p>
    <w:p>
      <w:pPr>
        <w:rPr>
          <w:rFonts w:ascii="微软雅黑" w:hAnsi="微软雅黑" w:eastAsia="微软雅黑" w:cs="微软雅黑"/>
          <w:b/>
          <w:bCs/>
          <w:sz w:val="30"/>
          <w:szCs w:val="30"/>
        </w:rPr>
      </w:pPr>
    </w:p>
    <w:p>
      <w:pPr>
        <w:rPr>
          <w:rFonts w:ascii="微软雅黑" w:hAnsi="微软雅黑" w:eastAsia="微软雅黑" w:cs="微软雅黑"/>
          <w:b/>
          <w:bCs/>
          <w:sz w:val="28"/>
          <w:szCs w:val="28"/>
        </w:rPr>
      </w:pPr>
      <w:r>
        <w:rPr>
          <w:rFonts w:hint="eastAsia" w:ascii="微软雅黑" w:hAnsi="微软雅黑" w:eastAsia="微软雅黑" w:cs="微软雅黑"/>
          <w:b/>
          <w:bCs/>
          <w:sz w:val="30"/>
          <w:szCs w:val="30"/>
        </w:rPr>
        <w:t xml:space="preserve">                 </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drawing>
          <wp:inline distT="0" distB="0" distL="114300" distR="114300">
            <wp:extent cx="6820535" cy="2279015"/>
            <wp:effectExtent l="0" t="0" r="18415" b="6985"/>
            <wp:docPr id="3" name="图片 3" descr="5_T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_TH-TH"/>
                    <pic:cNvPicPr>
                      <a:picLocks noChangeAspect="1"/>
                    </pic:cNvPicPr>
                  </pic:nvPicPr>
                  <pic:blipFill>
                    <a:blip r:embed="rId6" cstate="print"/>
                    <a:stretch>
                      <a:fillRect/>
                    </a:stretch>
                  </pic:blipFill>
                  <pic:spPr>
                    <a:xfrm>
                      <a:off x="0" y="0"/>
                      <a:ext cx="6820535" cy="2279015"/>
                    </a:xfrm>
                    <a:prstGeom prst="rect">
                      <a:avLst/>
                    </a:prstGeom>
                  </pic:spPr>
                </pic:pic>
              </a:graphicData>
            </a:graphic>
          </wp:inline>
        </w:drawing>
      </w:r>
    </w:p>
    <w:p>
      <w:pPr>
        <w:spacing w:line="240" w:lineRule="auto"/>
        <w:rPr>
          <w:rFonts w:hint="eastAsia"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宣素那他皇家大学介绍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u w:val="single"/>
          <w:lang w:val="en-US" w:eastAsia="zh-CN"/>
        </w:rPr>
      </w:pPr>
      <w:r>
        <w:rPr>
          <w:rFonts w:hint="eastAsia" w:ascii="微软雅黑" w:hAnsi="微软雅黑" w:eastAsia="微软雅黑" w:cs="微软雅黑"/>
          <w:sz w:val="21"/>
          <w:szCs w:val="21"/>
          <w:lang w:val="en-US" w:eastAsia="zh-CN"/>
        </w:rPr>
        <w:t>宣素那他皇家大学始建于1937年，是以拉玛五世国王皇后的名字命名的泰国一流国立大学。在全泰国40余所皇家大学中，宣素那他皇家大学连续七年排名第一。大学设有14个学院以及附属小学和附属中学。大学现有全日制在校生29000余名，本科、硕士、博士专业学位科学120余个。大学有五大校区，主校区坐落在首都曼谷市中心紧邻皇宫的宣素那他皇家园林，另外四个校区分别是佛统校区、那朗校区、也功校区和梧闻校区。宣素那他皇家大学现任主席功·塔帕朗西曾任泰国政府国务院副总理。“中泰是兄弟”、“中泰一家亲”是功·塔帕朗西主席会讲的中文词句里使用最频繁、最熟练的句子。现任校董功.塔帕朗西曾受到习主席、温总理亲切接见。</w:t>
      </w:r>
    </w:p>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outlineLvl w:val="9"/>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z w:val="21"/>
          <w:szCs w:val="21"/>
          <w:u w:val="none"/>
          <w:lang w:val="en-US" w:eastAsia="zh-CN"/>
        </w:rPr>
        <w:t xml:space="preserve">  宣素那他皇家大学和亚洲，欧洲，美洲等多所外国大学有学术和教育合作交流。与中国多所名校开展合作。宣素那他皇家大学与中国“985工程、211工程、双一流”高校——电子科技大学开展联合培养本科项目，2018级和2019级已入读宣素那他皇家大学管理学位本科课程。</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泰国教育简况</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泰国拉玛五世国王朱拉隆功大帝早在1887年仿效欧美，成立了专门的教育部，负责管理国家教育和规范教育体系。泰国政府教育质量评估极其严格，在设立教育部的同时，还设立了一个与教育部平级的独立机构——国家标准与质量评估办公室（ONESQA），以此保证教育质量的评估标准客观公正。泰国的高等教育在课程设置、教育方法和教育体制上都采用了欧美模式，不少课程的教材直接从欧美引进。其高等教育质量水平已被国际教育界和考试机构所认可。</w:t>
      </w:r>
    </w:p>
    <w:p>
      <w:pPr>
        <w:spacing w:line="240" w:lineRule="auto"/>
        <w:rPr>
          <w:rFonts w:hint="eastAsia"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大学优势</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1、宣素那他皇家大学是泰国国立一流名校，师资力量雄厚。</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2、部分专业采用英语授课为主，成绩优异者可获得奖学金。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3、宣素那他皇家大学主校区位于曼谷市中心，共五十多栋建筑，坐落在拉玛五世皇家园林历史底蕴深，学术氛围浓。中国留学生全程在主校区就读，交通便利。</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4、主校区紧邻皇宫，校内校外均处在皇家卫队保卫区。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5、宣素那他皇家大学建有校内三星级酒店，配有游泳馆、健身房以及自助早餐服务。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6、校内食堂餐饮品种丰富齐全，全天冷气开放，校内图书馆、运动场馆设施齐全。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7、有中英泰三语辅导员，并提供接机报到、课程注册、学习督导、签证换领、带领就医等管理服务。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en-US" w:eastAsia="zh-CN"/>
        </w:rPr>
        <w:t>8、从申请到毕业、国外及回国后教育部学历学位认证、回国就业推荐一站式服务。</w:t>
      </w:r>
    </w:p>
    <w:p>
      <w:pPr>
        <w:spacing w:line="240" w:lineRule="auto"/>
        <w:rPr>
          <w:rFonts w:hint="eastAsia"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毕业所获学历回国后中国教育部认证</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ind w:firstLine="420" w:firstLineChars="200"/>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宣素那他皇家大学是中国教育部涉外监管信息网推荐留学院校。按首字母排序序号：53</w:t>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textAlignment w:val="auto"/>
        <w:outlineLvl w:val="9"/>
        <w:rPr>
          <w:rFonts w:hint="default"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drawing>
          <wp:anchor distT="0" distB="0" distL="114300" distR="114300" simplePos="0" relativeHeight="251661312" behindDoc="1" locked="0" layoutInCell="1" allowOverlap="1">
            <wp:simplePos x="0" y="0"/>
            <wp:positionH relativeFrom="column">
              <wp:posOffset>295910</wp:posOffset>
            </wp:positionH>
            <wp:positionV relativeFrom="page">
              <wp:posOffset>8024495</wp:posOffset>
            </wp:positionV>
            <wp:extent cx="2404110" cy="2621915"/>
            <wp:effectExtent l="0" t="0" r="15240" b="6985"/>
            <wp:wrapTight wrapText="bothSides">
              <wp:wrapPolygon>
                <wp:start x="0" y="0"/>
                <wp:lineTo x="0" y="21501"/>
                <wp:lineTo x="21395" y="21501"/>
                <wp:lineTo x="21395" y="0"/>
                <wp:lineTo x="0" y="0"/>
              </wp:wrapPolygon>
            </wp:wrapTight>
            <wp:docPr id="1" name="图片 1" descr="涉外监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涉外监管网"/>
                    <pic:cNvPicPr>
                      <a:picLocks noChangeAspect="1"/>
                    </pic:cNvPicPr>
                  </pic:nvPicPr>
                  <pic:blipFill>
                    <a:blip r:embed="rId7" cstate="print"/>
                    <a:stretch>
                      <a:fillRect/>
                    </a:stretch>
                  </pic:blipFill>
                  <pic:spPr>
                    <a:xfrm>
                      <a:off x="0" y="0"/>
                      <a:ext cx="2404110" cy="2621915"/>
                    </a:xfrm>
                    <a:prstGeom prst="rect">
                      <a:avLst/>
                    </a:prstGeom>
                  </pic:spPr>
                </pic:pic>
              </a:graphicData>
            </a:graphic>
          </wp:anchor>
        </w:drawing>
      </w:r>
    </w:p>
    <w:p>
      <w:pPr>
        <w:keepNext w:val="0"/>
        <w:keepLines w:val="0"/>
        <w:pageBreakBefore w:val="0"/>
        <w:widowControl w:val="0"/>
        <w:tabs>
          <w:tab w:val="left" w:pos="7140"/>
        </w:tabs>
        <w:kinsoku/>
        <w:wordWrap/>
        <w:overflowPunct/>
        <w:topLinePunct w:val="0"/>
        <w:autoSpaceDE/>
        <w:autoSpaceDN/>
        <w:bidi w:val="0"/>
        <w:adjustRightInd/>
        <w:snapToGrid/>
        <w:spacing w:line="420" w:lineRule="exact"/>
        <w:textAlignment w:val="auto"/>
        <w:outlineLvl w:val="9"/>
        <w:rPr>
          <w:rFonts w:hint="default" w:ascii="微软雅黑" w:hAnsi="微软雅黑" w:eastAsia="微软雅黑" w:cs="微软雅黑"/>
          <w:color w:val="000000" w:themeColor="text1"/>
          <w:sz w:val="21"/>
          <w:szCs w:val="21"/>
          <w:lang w:val="en-US" w:eastAsia="zh-CN"/>
          <w14:textFill>
            <w14:solidFill>
              <w14:schemeClr w14:val="tx1"/>
            </w14:solidFill>
          </w14:textFill>
        </w:rPr>
      </w:pPr>
    </w:p>
    <w:p>
      <w:pPr>
        <w:keepNext w:val="0"/>
        <w:keepLines w:val="0"/>
        <w:pageBreakBefore w:val="0"/>
        <w:widowControl w:val="0"/>
        <w:tabs>
          <w:tab w:val="left" w:pos="7140"/>
        </w:tabs>
        <w:kinsoku/>
        <w:wordWrap/>
        <w:overflowPunct/>
        <w:topLinePunct w:val="0"/>
        <w:autoSpaceDE/>
        <w:autoSpaceDN/>
        <w:bidi w:val="0"/>
        <w:adjustRightInd/>
        <w:snapToGrid/>
        <w:spacing w:line="420" w:lineRule="exact"/>
        <w:textAlignment w:val="auto"/>
        <w:outlineLvl w:val="9"/>
        <w:rPr>
          <w:rFonts w:hint="default" w:ascii="微软雅黑" w:hAnsi="微软雅黑" w:eastAsia="微软雅黑" w:cs="微软雅黑"/>
          <w:color w:val="000000" w:themeColor="text1"/>
          <w:sz w:val="21"/>
          <w:szCs w:val="21"/>
          <w:lang w:val="en-US" w:eastAsia="zh-CN"/>
          <w14:textFill>
            <w14:solidFill>
              <w14:schemeClr w14:val="tx1"/>
            </w14:solidFill>
          </w14:textFill>
        </w:rPr>
      </w:pPr>
    </w:p>
    <w:p>
      <w:pPr>
        <w:keepNext w:val="0"/>
        <w:keepLines w:val="0"/>
        <w:pageBreakBefore w:val="0"/>
        <w:widowControl w:val="0"/>
        <w:tabs>
          <w:tab w:val="left" w:pos="7140"/>
        </w:tabs>
        <w:kinsoku/>
        <w:wordWrap/>
        <w:overflowPunct/>
        <w:topLinePunct w:val="0"/>
        <w:autoSpaceDE/>
        <w:autoSpaceDN/>
        <w:bidi w:val="0"/>
        <w:adjustRightInd/>
        <w:snapToGrid/>
        <w:spacing w:line="420" w:lineRule="exact"/>
        <w:textAlignment w:val="auto"/>
        <w:outlineLvl w:val="9"/>
        <w:rPr>
          <w:rFonts w:hint="default" w:ascii="微软雅黑" w:hAnsi="微软雅黑" w:eastAsia="微软雅黑" w:cs="微软雅黑"/>
          <w:color w:val="000000" w:themeColor="text1"/>
          <w:sz w:val="21"/>
          <w:szCs w:val="21"/>
          <w:lang w:val="en-US" w:eastAsia="zh-CN"/>
          <w14:textFill>
            <w14:solidFill>
              <w14:schemeClr w14:val="tx1"/>
            </w14:solidFill>
          </w14:textFill>
        </w:rPr>
      </w:pPr>
    </w:p>
    <w:p>
      <w:pPr>
        <w:keepNext w:val="0"/>
        <w:keepLines w:val="0"/>
        <w:pageBreakBefore w:val="0"/>
        <w:widowControl w:val="0"/>
        <w:tabs>
          <w:tab w:val="left" w:pos="7140"/>
        </w:tabs>
        <w:kinsoku/>
        <w:wordWrap/>
        <w:overflowPunct/>
        <w:topLinePunct w:val="0"/>
        <w:autoSpaceDE/>
        <w:autoSpaceDN/>
        <w:bidi w:val="0"/>
        <w:adjustRightInd/>
        <w:snapToGrid/>
        <w:spacing w:line="420" w:lineRule="exact"/>
        <w:textAlignment w:val="auto"/>
        <w:outlineLvl w:val="9"/>
        <w:rPr>
          <w:rFonts w:hint="default" w:ascii="微软雅黑" w:hAnsi="微软雅黑" w:eastAsia="微软雅黑" w:cs="微软雅黑"/>
          <w:color w:val="000000" w:themeColor="text1"/>
          <w:sz w:val="21"/>
          <w:szCs w:val="21"/>
          <w:lang w:val="en-US" w:eastAsia="zh-CN"/>
          <w14:textFill>
            <w14:solidFill>
              <w14:schemeClr w14:val="tx1"/>
            </w14:solidFill>
          </w14:textFill>
        </w:rPr>
      </w:pPr>
      <w:r>
        <w:rPr>
          <w:sz w:val="21"/>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3179445</wp:posOffset>
                </wp:positionV>
                <wp:extent cx="2890520" cy="6350"/>
                <wp:effectExtent l="0" t="0" r="0" b="0"/>
                <wp:wrapNone/>
                <wp:docPr id="5" name="直线 7"/>
                <wp:cNvGraphicFramePr/>
                <a:graphic xmlns:a="http://schemas.openxmlformats.org/drawingml/2006/main">
                  <a:graphicData uri="http://schemas.microsoft.com/office/word/2010/wordprocessingShape">
                    <wps:wsp>
                      <wps:cNvCnPr/>
                      <wps:spPr>
                        <a:xfrm flipV="1">
                          <a:off x="0" y="0"/>
                          <a:ext cx="2890520" cy="63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flip:y;margin-left:-1.3pt;margin-top:250.35pt;height:0.5pt;width:227.6pt;z-index:251660288;mso-width-relative:page;mso-height-relative:page;" filled="f" stroked="t" coordsize="21600,21600" o:gfxdata="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nw0zfXAAAACgEAAA8AAAAAAAAAAQAgAAAAIgAAAGRycy9kb3ducmV2LnhtbFBLAQIU&#10;ABQAAAAIAIdO4kAx9rgk9AEAAOgDAAAOAAAAAAAAAAEAIAAAACYBAABkcnMvZTJvRG9jLnhtbFBL&#10;BQYAAAAABgAGAFkBAACMBQAAAAA=&#10;">
                <v:fill on="f" focussize="0,0"/>
                <v:stroke color="#000000" joinstyle="round"/>
                <v:imagedata o:title=""/>
                <o:lock v:ext="edit" aspectratio="f"/>
              </v:line>
            </w:pict>
          </mc:Fallback>
        </mc:AlternateContent>
      </w:r>
    </w:p>
    <w:p>
      <w:pPr>
        <w:spacing w:line="240" w:lineRule="auto"/>
        <w:rPr>
          <w:rFonts w:hint="eastAsia" w:ascii="微软雅黑" w:hAnsi="微软雅黑" w:eastAsia="微软雅黑" w:cs="微软雅黑"/>
          <w:color w:val="0000FF"/>
          <w:sz w:val="28"/>
          <w:szCs w:val="28"/>
          <w:lang w:val="zh-TW" w:eastAsia="zh-TW"/>
        </w:rPr>
      </w:pPr>
    </w:p>
    <w:p>
      <w:pPr>
        <w:spacing w:line="240" w:lineRule="auto"/>
        <w:rPr>
          <w:rFonts w:hint="eastAsia" w:ascii="微软雅黑" w:hAnsi="微软雅黑" w:eastAsia="微软雅黑" w:cs="微软雅黑"/>
          <w:color w:val="0000FF"/>
          <w:sz w:val="28"/>
          <w:szCs w:val="28"/>
          <w:lang w:val="zh-TW" w:eastAsia="zh-TW"/>
        </w:rPr>
      </w:pPr>
    </w:p>
    <w:p>
      <w:pPr>
        <w:spacing w:line="240" w:lineRule="auto"/>
        <w:rPr>
          <w:rFonts w:hint="eastAsia" w:ascii="微软雅黑" w:hAnsi="微软雅黑" w:eastAsia="微软雅黑" w:cs="微软雅黑"/>
          <w:color w:val="0000FF"/>
          <w:sz w:val="28"/>
          <w:szCs w:val="28"/>
          <w:lang w:val="zh-TW" w:eastAsia="zh-TW"/>
        </w:rPr>
      </w:pPr>
      <w:r>
        <w:rPr>
          <w:rFonts w:hint="eastAsia" w:ascii="微软雅黑" w:hAnsi="微软雅黑" w:eastAsia="微软雅黑" w:cs="微软雅黑"/>
          <w:color w:val="0000FF"/>
          <w:sz w:val="28"/>
          <w:szCs w:val="28"/>
          <w:lang w:val="zh-TW" w:eastAsia="zh-TW"/>
        </w:rPr>
        <w:t>关于留学回国人员的政策支持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1.全日制留学生毕业回国后可获得国家教育部学历学位认证及应届毕业生就业报到证，具有参加公务员考试资格。</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2.年龄不满45周岁的硕士毕业生入职注册资金50万元以上的高新技术企业，符合条件可申请落户北京等城市。</w:t>
      </w:r>
    </w:p>
    <w:tbl>
      <w:tblPr>
        <w:tblStyle w:val="7"/>
        <w:tblpPr w:leftFromText="180" w:rightFromText="180" w:vertAnchor="text" w:horzAnchor="page" w:tblpXSpec="center" w:tblpY="5366"/>
        <w:tblOverlap w:val="never"/>
        <w:tblW w:w="11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675"/>
        <w:gridCol w:w="665"/>
        <w:gridCol w:w="658"/>
        <w:gridCol w:w="736"/>
        <w:gridCol w:w="704"/>
        <w:gridCol w:w="1875"/>
        <w:gridCol w:w="870"/>
        <w:gridCol w:w="825"/>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055" w:type="dxa"/>
            <w:gridSpan w:val="2"/>
            <w:vAlign w:val="top"/>
          </w:tcPr>
          <w:p>
            <w:pPr>
              <w:keepNext w:val="0"/>
              <w:keepLines w:val="0"/>
              <w:pageBreakBefore w:val="0"/>
              <w:widowControl w:val="0"/>
              <w:kinsoku/>
              <w:wordWrap/>
              <w:overflowPunct/>
              <w:topLinePunct w:val="0"/>
              <w:autoSpaceDE/>
              <w:autoSpaceDN/>
              <w:bidi w:val="0"/>
              <w:adjustRightInd/>
              <w:snapToGrid/>
              <w:spacing w:before="192" w:beforeLines="80" w:line="240" w:lineRule="exact"/>
              <w:jc w:val="center"/>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宣素那他皇家大学学位及专业</w:t>
            </w:r>
          </w:p>
        </w:tc>
        <w:tc>
          <w:tcPr>
            <w:tcW w:w="665" w:type="dxa"/>
            <w:vAlign w:val="top"/>
          </w:tcPr>
          <w:p>
            <w:pPr>
              <w:keepNext w:val="0"/>
              <w:keepLines w:val="0"/>
              <w:pageBreakBefore w:val="0"/>
              <w:widowControl w:val="0"/>
              <w:kinsoku/>
              <w:wordWrap/>
              <w:overflowPunct/>
              <w:topLinePunct w:val="0"/>
              <w:autoSpaceDE/>
              <w:autoSpaceDN/>
              <w:bidi w:val="0"/>
              <w:adjustRightInd/>
              <w:snapToGrid/>
              <w:spacing w:before="192" w:beforeLines="80" w:line="240" w:lineRule="exact"/>
              <w:jc w:val="center"/>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val="en-US" w:eastAsia="zh-CN"/>
              </w:rPr>
              <w:t>学</w:t>
            </w:r>
            <w:r>
              <w:rPr>
                <w:rFonts w:hint="eastAsia" w:ascii="微软雅黑" w:hAnsi="微软雅黑" w:eastAsia="微软雅黑" w:cs="微软雅黑"/>
                <w:bCs/>
                <w:color w:val="000000"/>
                <w:sz w:val="21"/>
                <w:szCs w:val="21"/>
              </w:rPr>
              <w:t>制</w:t>
            </w:r>
          </w:p>
        </w:tc>
        <w:tc>
          <w:tcPr>
            <w:tcW w:w="658" w:type="dxa"/>
            <w:vAlign w:val="top"/>
          </w:tcPr>
          <w:p>
            <w:pPr>
              <w:keepNext w:val="0"/>
              <w:keepLines w:val="0"/>
              <w:pageBreakBefore w:val="0"/>
              <w:widowControl w:val="0"/>
              <w:kinsoku/>
              <w:wordWrap/>
              <w:overflowPunct/>
              <w:topLinePunct w:val="0"/>
              <w:autoSpaceDE/>
              <w:autoSpaceDN/>
              <w:bidi w:val="0"/>
              <w:adjustRightInd/>
              <w:snapToGrid/>
              <w:spacing w:before="192" w:beforeLines="80" w:line="240" w:lineRule="exact"/>
              <w:jc w:val="center"/>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学习时间</w:t>
            </w:r>
          </w:p>
        </w:tc>
        <w:tc>
          <w:tcPr>
            <w:tcW w:w="736" w:type="dxa"/>
            <w:vAlign w:val="top"/>
          </w:tcPr>
          <w:p>
            <w:pPr>
              <w:keepNext w:val="0"/>
              <w:keepLines w:val="0"/>
              <w:pageBreakBefore w:val="0"/>
              <w:widowControl w:val="0"/>
              <w:kinsoku/>
              <w:wordWrap/>
              <w:overflowPunct/>
              <w:topLinePunct w:val="0"/>
              <w:autoSpaceDE/>
              <w:autoSpaceDN/>
              <w:bidi w:val="0"/>
              <w:adjustRightInd/>
              <w:snapToGrid/>
              <w:spacing w:before="192" w:beforeLines="80" w:line="240" w:lineRule="exact"/>
              <w:jc w:val="center"/>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招生计划</w:t>
            </w:r>
          </w:p>
        </w:tc>
        <w:tc>
          <w:tcPr>
            <w:tcW w:w="704" w:type="dxa"/>
            <w:vAlign w:val="top"/>
          </w:tcPr>
          <w:p>
            <w:pPr>
              <w:keepNext w:val="0"/>
              <w:keepLines w:val="0"/>
              <w:pageBreakBefore w:val="0"/>
              <w:widowControl w:val="0"/>
              <w:kinsoku/>
              <w:wordWrap/>
              <w:overflowPunct/>
              <w:topLinePunct w:val="0"/>
              <w:autoSpaceDE/>
              <w:autoSpaceDN/>
              <w:bidi w:val="0"/>
              <w:adjustRightInd/>
              <w:snapToGrid/>
              <w:spacing w:before="192" w:beforeLines="80" w:line="240" w:lineRule="exact"/>
              <w:jc w:val="center"/>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招生对象</w:t>
            </w:r>
          </w:p>
        </w:tc>
        <w:tc>
          <w:tcPr>
            <w:tcW w:w="3570" w:type="dxa"/>
            <w:gridSpan w:val="3"/>
            <w:vAlign w:val="top"/>
          </w:tcPr>
          <w:p>
            <w:pPr>
              <w:keepNext w:val="0"/>
              <w:keepLines w:val="0"/>
              <w:pageBreakBefore w:val="0"/>
              <w:widowControl w:val="0"/>
              <w:kinsoku/>
              <w:wordWrap/>
              <w:overflowPunct/>
              <w:topLinePunct w:val="0"/>
              <w:autoSpaceDE/>
              <w:autoSpaceDN/>
              <w:bidi w:val="0"/>
              <w:adjustRightInd/>
              <w:snapToGrid/>
              <w:spacing w:before="192" w:beforeLines="80" w:line="240" w:lineRule="exact"/>
              <w:jc w:val="center"/>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学</w:t>
            </w:r>
            <w:r>
              <w:rPr>
                <w:rFonts w:hint="eastAsia" w:ascii="微软雅黑" w:hAnsi="微软雅黑" w:eastAsia="微软雅黑" w:cs="微软雅黑"/>
                <w:bCs/>
                <w:color w:val="000000"/>
                <w:sz w:val="21"/>
                <w:szCs w:val="21"/>
                <w:lang w:val="en-US" w:eastAsia="zh-CN"/>
              </w:rPr>
              <w:t>杂</w:t>
            </w:r>
            <w:r>
              <w:rPr>
                <w:rFonts w:hint="eastAsia" w:ascii="微软雅黑" w:hAnsi="微软雅黑" w:eastAsia="微软雅黑" w:cs="微软雅黑"/>
                <w:bCs/>
                <w:color w:val="000000"/>
                <w:sz w:val="21"/>
                <w:szCs w:val="21"/>
              </w:rPr>
              <w:t>费（泰铢）</w:t>
            </w:r>
          </w:p>
          <w:p>
            <w:pPr>
              <w:keepNext w:val="0"/>
              <w:keepLines w:val="0"/>
              <w:pageBreakBefore w:val="0"/>
              <w:widowControl w:val="0"/>
              <w:kinsoku/>
              <w:wordWrap/>
              <w:overflowPunct/>
              <w:topLinePunct w:val="0"/>
              <w:autoSpaceDE/>
              <w:autoSpaceDN/>
              <w:bidi w:val="0"/>
              <w:adjustRightInd/>
              <w:snapToGrid/>
              <w:spacing w:before="192" w:beforeLines="80" w:line="240" w:lineRule="exact"/>
              <w:jc w:val="center"/>
              <w:textAlignment w:val="auto"/>
              <w:rPr>
                <w:rFonts w:hint="eastAsia" w:ascii="微软雅黑" w:hAnsi="微软雅黑" w:eastAsia="微软雅黑" w:cs="微软雅黑"/>
                <w:bCs/>
                <w:color w:val="000000"/>
                <w:sz w:val="21"/>
                <w:szCs w:val="21"/>
              </w:rPr>
            </w:pPr>
          </w:p>
        </w:tc>
        <w:tc>
          <w:tcPr>
            <w:tcW w:w="1997" w:type="dxa"/>
            <w:vAlign w:val="top"/>
          </w:tcPr>
          <w:p>
            <w:pPr>
              <w:keepNext w:val="0"/>
              <w:keepLines w:val="0"/>
              <w:pageBreakBefore w:val="0"/>
              <w:widowControl w:val="0"/>
              <w:kinsoku/>
              <w:wordWrap/>
              <w:overflowPunct/>
              <w:topLinePunct w:val="0"/>
              <w:autoSpaceDE/>
              <w:autoSpaceDN/>
              <w:bidi w:val="0"/>
              <w:adjustRightInd/>
              <w:snapToGrid/>
              <w:spacing w:before="192" w:beforeLines="80" w:line="240" w:lineRule="exact"/>
              <w:jc w:val="both"/>
              <w:textAlignment w:val="auto"/>
              <w:rPr>
                <w:rFonts w:hint="default"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rPr>
              <w:t>总学</w:t>
            </w:r>
            <w:r>
              <w:rPr>
                <w:rFonts w:hint="eastAsia" w:ascii="微软雅黑" w:hAnsi="微软雅黑" w:eastAsia="微软雅黑" w:cs="微软雅黑"/>
                <w:bCs/>
                <w:color w:val="000000"/>
                <w:sz w:val="21"/>
                <w:szCs w:val="21"/>
                <w:lang w:val="en-US" w:eastAsia="zh-CN"/>
              </w:rPr>
              <w:t>杂</w:t>
            </w:r>
            <w:r>
              <w:rPr>
                <w:rFonts w:hint="eastAsia" w:ascii="微软雅黑" w:hAnsi="微软雅黑" w:eastAsia="微软雅黑" w:cs="微软雅黑"/>
                <w:bCs/>
                <w:color w:val="000000"/>
                <w:sz w:val="21"/>
                <w:szCs w:val="21"/>
              </w:rPr>
              <w:t>费</w:t>
            </w:r>
            <w:r>
              <w:rPr>
                <w:rFonts w:hint="eastAsia" w:ascii="微软雅黑" w:hAnsi="微软雅黑" w:eastAsia="微软雅黑" w:cs="微软雅黑"/>
                <w:bCs/>
                <w:color w:val="000000"/>
                <w:sz w:val="21"/>
                <w:szCs w:val="21"/>
                <w:lang w:val="en-US" w:eastAsia="zh-CN"/>
              </w:rPr>
              <w:t>（泰铢折算人民币以实时汇率为准）)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818" w:type="dxa"/>
            <w:gridSpan w:val="6"/>
            <w:vAlign w:val="top"/>
          </w:tcPr>
          <w:p>
            <w:pPr>
              <w:spacing w:before="48" w:beforeLines="20" w:line="180" w:lineRule="exact"/>
              <w:jc w:val="center"/>
              <w:rPr>
                <w:rFonts w:hint="eastAsia" w:ascii="微软雅黑" w:hAnsi="微软雅黑" w:eastAsia="微软雅黑" w:cs="微软雅黑"/>
                <w:bCs/>
                <w:color w:val="000000"/>
                <w:sz w:val="18"/>
                <w:szCs w:val="18"/>
              </w:rPr>
            </w:pPr>
          </w:p>
        </w:tc>
        <w:tc>
          <w:tcPr>
            <w:tcW w:w="1875" w:type="dxa"/>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第一年</w:t>
            </w:r>
          </w:p>
        </w:tc>
        <w:tc>
          <w:tcPr>
            <w:tcW w:w="1695" w:type="dxa"/>
            <w:gridSpan w:val="2"/>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第二年</w:t>
            </w:r>
          </w:p>
        </w:tc>
        <w:tc>
          <w:tcPr>
            <w:tcW w:w="1997" w:type="dxa"/>
            <w:vAlign w:val="top"/>
          </w:tcPr>
          <w:p>
            <w:pPr>
              <w:spacing w:before="72" w:beforeLines="30" w:line="180" w:lineRule="exact"/>
              <w:jc w:val="center"/>
              <w:rPr>
                <w:rFonts w:hint="eastAsia" w:ascii="微软雅黑" w:hAnsi="微软雅黑" w:eastAsia="微软雅黑" w:cs="微软雅黑"/>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80" w:type="dxa"/>
            <w:vMerge w:val="restart"/>
            <w:vAlign w:val="top"/>
          </w:tcPr>
          <w:p>
            <w:pPr>
              <w:spacing w:before="120" w:beforeLines="50" w:line="180" w:lineRule="exact"/>
              <w:ind w:firstLine="180" w:firstLineChars="100"/>
              <w:jc w:val="both"/>
              <w:rPr>
                <w:rFonts w:hint="eastAsia" w:ascii="微软雅黑" w:hAnsi="微软雅黑" w:eastAsia="微软雅黑" w:cs="微软雅黑"/>
                <w:bCs/>
                <w:color w:val="000000"/>
                <w:sz w:val="18"/>
                <w:szCs w:val="18"/>
                <w:lang w:val="en-US" w:eastAsia="zh-CN"/>
              </w:rPr>
            </w:pPr>
          </w:p>
          <w:p>
            <w:pPr>
              <w:spacing w:before="120" w:beforeLines="50" w:line="180" w:lineRule="exact"/>
              <w:ind w:firstLine="180" w:firstLineChars="100"/>
              <w:jc w:val="both"/>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lang w:val="en-US" w:eastAsia="zh-CN"/>
              </w:rPr>
              <w:t>管理</w:t>
            </w:r>
            <w:r>
              <w:rPr>
                <w:rFonts w:hint="eastAsia" w:ascii="微软雅黑" w:hAnsi="微软雅黑" w:eastAsia="微软雅黑" w:cs="微软雅黑"/>
                <w:bCs/>
                <w:color w:val="000000"/>
                <w:sz w:val="18"/>
                <w:szCs w:val="18"/>
              </w:rPr>
              <w:t>硕士</w:t>
            </w:r>
          </w:p>
          <w:p>
            <w:pPr>
              <w:spacing w:before="120" w:beforeLines="50" w:line="180" w:lineRule="exact"/>
              <w:jc w:val="center"/>
              <w:rPr>
                <w:rFonts w:hint="eastAsia" w:ascii="微软雅黑" w:hAnsi="微软雅黑" w:eastAsia="微软雅黑" w:cs="微软雅黑"/>
                <w:bCs/>
                <w:color w:val="000000"/>
                <w:sz w:val="18"/>
                <w:szCs w:val="18"/>
              </w:rPr>
            </w:pPr>
          </w:p>
        </w:tc>
        <w:tc>
          <w:tcPr>
            <w:tcW w:w="1675" w:type="dxa"/>
            <w:vAlign w:val="top"/>
          </w:tcPr>
          <w:p>
            <w:pPr>
              <w:spacing w:before="192" w:beforeLines="80" w:line="180" w:lineRule="exact"/>
              <w:jc w:val="center"/>
              <w:rPr>
                <w:rFonts w:hint="eastAsia" w:ascii="微软雅黑" w:hAnsi="微软雅黑" w:eastAsia="微软雅黑" w:cs="微软雅黑"/>
                <w:bCs/>
                <w:color w:val="000000"/>
                <w:sz w:val="18"/>
                <w:szCs w:val="18"/>
                <w:lang w:val="en-US" w:eastAsia="zh-CN"/>
              </w:rPr>
            </w:pPr>
            <w:r>
              <w:rPr>
                <w:rFonts w:hint="eastAsia" w:ascii="微软雅黑" w:hAnsi="微软雅黑" w:eastAsia="微软雅黑" w:cs="微软雅黑"/>
                <w:bCs/>
                <w:color w:val="000000"/>
                <w:sz w:val="18"/>
                <w:szCs w:val="18"/>
              </w:rPr>
              <w:t>创新管理</w:t>
            </w:r>
          </w:p>
        </w:tc>
        <w:tc>
          <w:tcPr>
            <w:tcW w:w="665" w:type="dxa"/>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2年</w:t>
            </w:r>
          </w:p>
        </w:tc>
        <w:tc>
          <w:tcPr>
            <w:tcW w:w="658" w:type="dxa"/>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1年</w:t>
            </w:r>
          </w:p>
        </w:tc>
        <w:tc>
          <w:tcPr>
            <w:tcW w:w="736" w:type="dxa"/>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15</w:t>
            </w:r>
          </w:p>
        </w:tc>
        <w:tc>
          <w:tcPr>
            <w:tcW w:w="704" w:type="dxa"/>
            <w:vMerge w:val="restart"/>
            <w:vAlign w:val="top"/>
          </w:tcPr>
          <w:p>
            <w:pPr>
              <w:spacing w:before="48" w:beforeLines="20" w:line="180" w:lineRule="exact"/>
              <w:jc w:val="center"/>
              <w:rPr>
                <w:rFonts w:hint="eastAsia" w:ascii="微软雅黑" w:hAnsi="微软雅黑" w:eastAsia="微软雅黑" w:cs="微软雅黑"/>
                <w:bCs/>
                <w:color w:val="000000"/>
                <w:sz w:val="18"/>
                <w:szCs w:val="18"/>
              </w:rPr>
            </w:pPr>
          </w:p>
          <w:p>
            <w:pPr>
              <w:spacing w:before="48" w:beforeLines="20" w:line="240" w:lineRule="auto"/>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应往届本科毕业生</w:t>
            </w:r>
          </w:p>
        </w:tc>
        <w:tc>
          <w:tcPr>
            <w:tcW w:w="1875" w:type="dxa"/>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400000</w:t>
            </w:r>
          </w:p>
        </w:tc>
        <w:tc>
          <w:tcPr>
            <w:tcW w:w="1695" w:type="dxa"/>
            <w:gridSpan w:val="2"/>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250000</w:t>
            </w:r>
          </w:p>
        </w:tc>
        <w:tc>
          <w:tcPr>
            <w:tcW w:w="1997" w:type="dxa"/>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65万泰铢</w:t>
            </w:r>
          </w:p>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约合15万人民币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80" w:type="dxa"/>
            <w:vMerge w:val="continue"/>
            <w:vAlign w:val="top"/>
          </w:tcPr>
          <w:p>
            <w:pPr>
              <w:spacing w:before="192" w:beforeLines="80" w:line="180" w:lineRule="exact"/>
              <w:jc w:val="center"/>
              <w:rPr>
                <w:rFonts w:hint="eastAsia" w:ascii="微软雅黑" w:hAnsi="微软雅黑" w:eastAsia="微软雅黑" w:cs="微软雅黑"/>
                <w:sz w:val="18"/>
                <w:szCs w:val="18"/>
              </w:rPr>
            </w:pPr>
          </w:p>
        </w:tc>
        <w:tc>
          <w:tcPr>
            <w:tcW w:w="1675" w:type="dxa"/>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工商管理</w:t>
            </w:r>
          </w:p>
        </w:tc>
        <w:tc>
          <w:tcPr>
            <w:tcW w:w="665" w:type="dxa"/>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2年</w:t>
            </w:r>
          </w:p>
        </w:tc>
        <w:tc>
          <w:tcPr>
            <w:tcW w:w="658" w:type="dxa"/>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1年</w:t>
            </w:r>
          </w:p>
        </w:tc>
        <w:tc>
          <w:tcPr>
            <w:tcW w:w="736" w:type="dxa"/>
            <w:vAlign w:val="top"/>
          </w:tcPr>
          <w:p>
            <w:pPr>
              <w:spacing w:before="192" w:beforeLines="80" w:line="180" w:lineRule="exact"/>
              <w:jc w:val="center"/>
              <w:rPr>
                <w:rFonts w:hint="eastAsia" w:ascii="微软雅黑" w:hAnsi="微软雅黑" w:eastAsia="微软雅黑" w:cs="微软雅黑"/>
                <w:bCs/>
                <w:color w:val="000000"/>
                <w:sz w:val="18"/>
                <w:szCs w:val="18"/>
                <w:lang w:val="en-US" w:eastAsia="zh-CN"/>
              </w:rPr>
            </w:pPr>
            <w:r>
              <w:rPr>
                <w:rFonts w:hint="eastAsia" w:ascii="微软雅黑" w:hAnsi="微软雅黑" w:eastAsia="微软雅黑" w:cs="微软雅黑"/>
                <w:bCs/>
                <w:color w:val="000000"/>
                <w:sz w:val="18"/>
                <w:szCs w:val="18"/>
                <w:lang w:val="en-US" w:eastAsia="zh-CN"/>
              </w:rPr>
              <w:t>25</w:t>
            </w:r>
          </w:p>
        </w:tc>
        <w:tc>
          <w:tcPr>
            <w:tcW w:w="704" w:type="dxa"/>
            <w:vMerge w:val="continue"/>
            <w:vAlign w:val="top"/>
          </w:tcPr>
          <w:p>
            <w:pPr>
              <w:spacing w:before="192" w:beforeLines="80" w:line="180" w:lineRule="exact"/>
              <w:jc w:val="center"/>
              <w:rPr>
                <w:rFonts w:hint="eastAsia" w:ascii="微软雅黑" w:hAnsi="微软雅黑" w:eastAsia="微软雅黑" w:cs="微软雅黑"/>
                <w:bCs/>
                <w:color w:val="000000"/>
                <w:sz w:val="18"/>
                <w:szCs w:val="18"/>
              </w:rPr>
            </w:pPr>
          </w:p>
        </w:tc>
        <w:tc>
          <w:tcPr>
            <w:tcW w:w="1875" w:type="dxa"/>
            <w:vAlign w:val="top"/>
          </w:tcPr>
          <w:p>
            <w:pPr>
              <w:spacing w:before="192" w:beforeLines="80" w:line="180" w:lineRule="exact"/>
              <w:jc w:val="cente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9万</w:t>
            </w:r>
          </w:p>
        </w:tc>
        <w:tc>
          <w:tcPr>
            <w:tcW w:w="1695" w:type="dxa"/>
            <w:gridSpan w:val="2"/>
            <w:vAlign w:val="top"/>
          </w:tcPr>
          <w:p>
            <w:pPr>
              <w:spacing w:before="192" w:beforeLines="80" w:line="180" w:lineRule="exact"/>
              <w:jc w:val="center"/>
              <w:rPr>
                <w:rFonts w:hint="default" w:ascii="微软雅黑" w:hAnsi="微软雅黑" w:eastAsia="微软雅黑" w:cs="微软雅黑"/>
                <w:bCs/>
                <w:color w:val="000000"/>
                <w:sz w:val="18"/>
                <w:szCs w:val="18"/>
                <w:lang w:val="en-US" w:eastAsia="zh-CN"/>
              </w:rPr>
            </w:pPr>
            <w:r>
              <w:rPr>
                <w:rFonts w:hint="eastAsia" w:ascii="微软雅黑" w:hAnsi="微软雅黑" w:eastAsia="微软雅黑" w:cs="微软雅黑"/>
                <w:bCs/>
                <w:color w:val="000000"/>
                <w:sz w:val="18"/>
                <w:szCs w:val="18"/>
                <w:lang w:val="en-US" w:eastAsia="zh-CN"/>
              </w:rPr>
              <w:t>4.6万</w:t>
            </w:r>
          </w:p>
        </w:tc>
        <w:tc>
          <w:tcPr>
            <w:tcW w:w="1997" w:type="dxa"/>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13.6万人民币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80" w:type="dxa"/>
            <w:vMerge w:val="continue"/>
            <w:vAlign w:val="top"/>
          </w:tcPr>
          <w:p>
            <w:pPr>
              <w:spacing w:before="192" w:beforeLines="80" w:line="180" w:lineRule="exact"/>
              <w:jc w:val="center"/>
              <w:rPr>
                <w:rFonts w:hint="eastAsia" w:ascii="微软雅黑" w:hAnsi="微软雅黑" w:eastAsia="微软雅黑" w:cs="微软雅黑"/>
                <w:sz w:val="18"/>
                <w:szCs w:val="18"/>
              </w:rPr>
            </w:pPr>
          </w:p>
        </w:tc>
        <w:tc>
          <w:tcPr>
            <w:tcW w:w="1675" w:type="dxa"/>
            <w:vAlign w:val="top"/>
          </w:tcPr>
          <w:p>
            <w:pPr>
              <w:spacing w:before="192" w:beforeLines="80" w:line="180" w:lineRule="exact"/>
              <w:jc w:val="center"/>
              <w:rPr>
                <w:rFonts w:hint="default" w:ascii="微软雅黑" w:hAnsi="微软雅黑" w:eastAsia="微软雅黑" w:cs="微软雅黑"/>
                <w:bCs/>
                <w:color w:val="000000"/>
                <w:sz w:val="18"/>
                <w:szCs w:val="18"/>
                <w:lang w:val="en-US" w:eastAsia="zh-CN"/>
              </w:rPr>
            </w:pPr>
            <w:r>
              <w:rPr>
                <w:rFonts w:hint="eastAsia" w:ascii="微软雅黑" w:hAnsi="微软雅黑" w:eastAsia="微软雅黑" w:cs="微软雅黑"/>
                <w:bCs/>
                <w:color w:val="000000"/>
                <w:sz w:val="18"/>
                <w:szCs w:val="18"/>
                <w:lang w:val="en-US" w:eastAsia="zh-CN"/>
              </w:rPr>
              <w:t>教育管理</w:t>
            </w:r>
          </w:p>
        </w:tc>
        <w:tc>
          <w:tcPr>
            <w:tcW w:w="665" w:type="dxa"/>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2年</w:t>
            </w:r>
          </w:p>
        </w:tc>
        <w:tc>
          <w:tcPr>
            <w:tcW w:w="658" w:type="dxa"/>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1年</w:t>
            </w:r>
          </w:p>
        </w:tc>
        <w:tc>
          <w:tcPr>
            <w:tcW w:w="736" w:type="dxa"/>
            <w:vAlign w:val="top"/>
          </w:tcPr>
          <w:p>
            <w:pPr>
              <w:spacing w:before="192" w:beforeLines="80" w:line="180" w:lineRule="exact"/>
              <w:jc w:val="center"/>
              <w:rPr>
                <w:rFonts w:hint="eastAsia" w:ascii="微软雅黑" w:hAnsi="微软雅黑" w:eastAsia="微软雅黑" w:cs="微软雅黑"/>
                <w:bCs/>
                <w:color w:val="000000"/>
                <w:sz w:val="18"/>
                <w:szCs w:val="18"/>
                <w:lang w:val="en-US" w:eastAsia="zh-CN"/>
              </w:rPr>
            </w:pPr>
            <w:r>
              <w:rPr>
                <w:rFonts w:hint="eastAsia" w:ascii="微软雅黑" w:hAnsi="微软雅黑" w:eastAsia="微软雅黑" w:cs="微软雅黑"/>
                <w:bCs/>
                <w:color w:val="000000"/>
                <w:sz w:val="18"/>
                <w:szCs w:val="18"/>
                <w:lang w:val="en-US" w:eastAsia="zh-CN"/>
              </w:rPr>
              <w:t>25</w:t>
            </w:r>
          </w:p>
        </w:tc>
        <w:tc>
          <w:tcPr>
            <w:tcW w:w="704" w:type="dxa"/>
            <w:vMerge w:val="continue"/>
            <w:vAlign w:val="top"/>
          </w:tcPr>
          <w:p>
            <w:pPr>
              <w:spacing w:before="192" w:beforeLines="80" w:line="180" w:lineRule="exact"/>
              <w:jc w:val="center"/>
              <w:rPr>
                <w:rFonts w:hint="eastAsia" w:ascii="微软雅黑" w:hAnsi="微软雅黑" w:eastAsia="微软雅黑" w:cs="微软雅黑"/>
                <w:bCs/>
                <w:color w:val="000000"/>
                <w:sz w:val="18"/>
                <w:szCs w:val="18"/>
              </w:rPr>
            </w:pPr>
          </w:p>
        </w:tc>
        <w:tc>
          <w:tcPr>
            <w:tcW w:w="1875" w:type="dxa"/>
            <w:vAlign w:val="top"/>
          </w:tcPr>
          <w:p>
            <w:pPr>
              <w:spacing w:before="192" w:beforeLines="80" w:line="180" w:lineRule="exact"/>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9万</w:t>
            </w:r>
          </w:p>
        </w:tc>
        <w:tc>
          <w:tcPr>
            <w:tcW w:w="1695" w:type="dxa"/>
            <w:gridSpan w:val="2"/>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lang w:val="en-US" w:eastAsia="zh-CN"/>
              </w:rPr>
              <w:t>4.6万</w:t>
            </w:r>
          </w:p>
        </w:tc>
        <w:tc>
          <w:tcPr>
            <w:tcW w:w="1997" w:type="dxa"/>
            <w:vAlign w:val="top"/>
          </w:tcPr>
          <w:p>
            <w:pPr>
              <w:spacing w:before="192" w:beforeLines="8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13.6万人民币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818" w:type="dxa"/>
            <w:gridSpan w:val="6"/>
            <w:vAlign w:val="top"/>
          </w:tcPr>
          <w:p>
            <w:pPr>
              <w:spacing w:before="48" w:beforeLines="20" w:line="180" w:lineRule="exact"/>
              <w:jc w:val="center"/>
              <w:rPr>
                <w:rFonts w:hint="eastAsia" w:ascii="微软雅黑" w:hAnsi="微软雅黑" w:eastAsia="微软雅黑" w:cs="微软雅黑"/>
                <w:bCs/>
                <w:color w:val="000000"/>
                <w:sz w:val="18"/>
                <w:szCs w:val="18"/>
              </w:rPr>
            </w:pPr>
          </w:p>
        </w:tc>
        <w:tc>
          <w:tcPr>
            <w:tcW w:w="1875" w:type="dxa"/>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第一年</w:t>
            </w:r>
          </w:p>
        </w:tc>
        <w:tc>
          <w:tcPr>
            <w:tcW w:w="870" w:type="dxa"/>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第二年</w:t>
            </w:r>
          </w:p>
        </w:tc>
        <w:tc>
          <w:tcPr>
            <w:tcW w:w="825" w:type="dxa"/>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第三年</w:t>
            </w:r>
          </w:p>
        </w:tc>
        <w:tc>
          <w:tcPr>
            <w:tcW w:w="1997" w:type="dxa"/>
            <w:vAlign w:val="top"/>
          </w:tcPr>
          <w:p>
            <w:pPr>
              <w:spacing w:before="72" w:beforeLines="30" w:line="180" w:lineRule="exact"/>
              <w:jc w:val="center"/>
              <w:rPr>
                <w:rFonts w:hint="eastAsia" w:ascii="微软雅黑" w:hAnsi="微软雅黑" w:eastAsia="微软雅黑" w:cs="微软雅黑"/>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380" w:type="dxa"/>
            <w:vMerge w:val="restart"/>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管理学博士</w:t>
            </w:r>
          </w:p>
          <w:p>
            <w:pPr>
              <w:spacing w:before="120" w:beforeLines="50" w:line="180" w:lineRule="exact"/>
              <w:jc w:val="center"/>
              <w:rPr>
                <w:rFonts w:hint="eastAsia" w:ascii="微软雅黑" w:hAnsi="微软雅黑" w:eastAsia="微软雅黑" w:cs="微软雅黑"/>
                <w:bCs/>
                <w:color w:val="000000"/>
                <w:sz w:val="18"/>
                <w:szCs w:val="18"/>
              </w:rPr>
            </w:pPr>
          </w:p>
        </w:tc>
        <w:tc>
          <w:tcPr>
            <w:tcW w:w="167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创新管理（Ph.D）</w:t>
            </w:r>
          </w:p>
        </w:tc>
        <w:tc>
          <w:tcPr>
            <w:tcW w:w="66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3年</w:t>
            </w:r>
          </w:p>
        </w:tc>
        <w:tc>
          <w:tcPr>
            <w:tcW w:w="658" w:type="dxa"/>
            <w:vMerge w:val="restart"/>
            <w:vAlign w:val="top"/>
          </w:tcPr>
          <w:p>
            <w:pPr>
              <w:spacing w:before="120" w:beforeLines="50" w:line="180" w:lineRule="exact"/>
              <w:jc w:val="center"/>
              <w:rPr>
                <w:rFonts w:hint="eastAsia" w:ascii="微软雅黑" w:hAnsi="微软雅黑" w:eastAsia="微软雅黑" w:cs="微软雅黑"/>
                <w:bCs/>
                <w:color w:val="000000"/>
                <w:sz w:val="18"/>
                <w:szCs w:val="18"/>
                <w:lang w:val="en-US" w:eastAsia="zh-CN"/>
              </w:rPr>
            </w:pPr>
          </w:p>
          <w:p>
            <w:pPr>
              <w:spacing w:before="120" w:beforeLines="50" w:line="180" w:lineRule="exact"/>
              <w:jc w:val="center"/>
              <w:rPr>
                <w:rFonts w:hint="eastAsia" w:ascii="微软雅黑" w:hAnsi="微软雅黑" w:eastAsia="微软雅黑" w:cs="微软雅黑"/>
                <w:bCs/>
                <w:color w:val="000000"/>
                <w:sz w:val="18"/>
                <w:szCs w:val="18"/>
                <w:lang w:val="en-US" w:eastAsia="zh-CN"/>
              </w:rPr>
            </w:pPr>
          </w:p>
          <w:p>
            <w:pPr>
              <w:spacing w:before="120" w:beforeLines="50" w:line="180" w:lineRule="exact"/>
              <w:jc w:val="center"/>
              <w:rPr>
                <w:rFonts w:hint="default" w:ascii="微软雅黑" w:hAnsi="微软雅黑" w:eastAsia="微软雅黑" w:cs="微软雅黑"/>
                <w:bCs/>
                <w:color w:val="000000"/>
                <w:sz w:val="18"/>
                <w:szCs w:val="18"/>
                <w:lang w:val="en-US" w:eastAsia="zh-CN"/>
              </w:rPr>
            </w:pPr>
            <w:r>
              <w:rPr>
                <w:rFonts w:hint="eastAsia" w:ascii="微软雅黑" w:hAnsi="微软雅黑" w:eastAsia="微软雅黑" w:cs="微软雅黑"/>
                <w:bCs/>
                <w:color w:val="000000"/>
                <w:sz w:val="18"/>
                <w:szCs w:val="18"/>
                <w:lang w:val="en-US" w:eastAsia="zh-CN"/>
              </w:rPr>
              <w:t>集中授课</w:t>
            </w:r>
          </w:p>
        </w:tc>
        <w:tc>
          <w:tcPr>
            <w:tcW w:w="736"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15</w:t>
            </w:r>
          </w:p>
        </w:tc>
        <w:tc>
          <w:tcPr>
            <w:tcW w:w="704" w:type="dxa"/>
            <w:vMerge w:val="restart"/>
            <w:vAlign w:val="top"/>
          </w:tcPr>
          <w:p>
            <w:pPr>
              <w:spacing w:before="48" w:beforeLines="20" w:line="240" w:lineRule="auto"/>
              <w:jc w:val="center"/>
              <w:rPr>
                <w:rFonts w:hint="eastAsia" w:ascii="微软雅黑" w:hAnsi="微软雅黑" w:eastAsia="微软雅黑" w:cs="微软雅黑"/>
                <w:bCs/>
                <w:color w:val="000000"/>
                <w:sz w:val="18"/>
                <w:szCs w:val="18"/>
              </w:rPr>
            </w:pPr>
          </w:p>
          <w:p>
            <w:pPr>
              <w:spacing w:before="48" w:beforeLines="20" w:line="240" w:lineRule="auto"/>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应往届硕士毕业生</w:t>
            </w:r>
          </w:p>
        </w:tc>
        <w:tc>
          <w:tcPr>
            <w:tcW w:w="1875" w:type="dxa"/>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680000</w:t>
            </w:r>
          </w:p>
        </w:tc>
        <w:tc>
          <w:tcPr>
            <w:tcW w:w="870" w:type="dxa"/>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300000</w:t>
            </w:r>
          </w:p>
        </w:tc>
        <w:tc>
          <w:tcPr>
            <w:tcW w:w="825" w:type="dxa"/>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无</w:t>
            </w:r>
          </w:p>
        </w:tc>
        <w:tc>
          <w:tcPr>
            <w:tcW w:w="1997" w:type="dxa"/>
            <w:vAlign w:val="top"/>
          </w:tcPr>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98万泰铢</w:t>
            </w:r>
          </w:p>
          <w:p>
            <w:pPr>
              <w:spacing w:before="72" w:beforeLines="3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约合2</w:t>
            </w:r>
            <w:r>
              <w:rPr>
                <w:rFonts w:hint="eastAsia" w:ascii="微软雅黑" w:hAnsi="微软雅黑" w:eastAsia="微软雅黑" w:cs="微软雅黑"/>
                <w:bCs/>
                <w:color w:val="000000"/>
                <w:sz w:val="18"/>
                <w:szCs w:val="18"/>
                <w:lang w:val="en-US" w:eastAsia="zh-CN"/>
              </w:rPr>
              <w:t>2</w:t>
            </w:r>
            <w:r>
              <w:rPr>
                <w:rFonts w:hint="eastAsia" w:ascii="微软雅黑" w:hAnsi="微软雅黑" w:eastAsia="微软雅黑" w:cs="微软雅黑"/>
                <w:bCs/>
                <w:color w:val="000000"/>
                <w:sz w:val="18"/>
                <w:szCs w:val="18"/>
              </w:rPr>
              <w:t>万人民币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380" w:type="dxa"/>
            <w:vMerge w:val="continue"/>
            <w:vAlign w:val="top"/>
          </w:tcPr>
          <w:p>
            <w:pPr>
              <w:spacing w:before="120" w:beforeLines="50" w:line="180" w:lineRule="exact"/>
              <w:jc w:val="center"/>
              <w:rPr>
                <w:rFonts w:hint="eastAsia" w:ascii="微软雅黑" w:hAnsi="微软雅黑" w:eastAsia="微软雅黑" w:cs="微软雅黑"/>
                <w:sz w:val="18"/>
                <w:szCs w:val="18"/>
              </w:rPr>
            </w:pPr>
          </w:p>
        </w:tc>
        <w:tc>
          <w:tcPr>
            <w:tcW w:w="1675" w:type="dxa"/>
            <w:vAlign w:val="top"/>
          </w:tcPr>
          <w:p>
            <w:pPr>
              <w:spacing w:before="120" w:beforeLines="50" w:line="180" w:lineRule="exact"/>
              <w:jc w:val="center"/>
              <w:rPr>
                <w:rFonts w:hint="default" w:ascii="微软雅黑" w:hAnsi="微软雅黑" w:eastAsia="微软雅黑" w:cs="微软雅黑"/>
                <w:bCs/>
                <w:color w:val="000000"/>
                <w:sz w:val="18"/>
                <w:szCs w:val="18"/>
                <w:lang w:val="en-US" w:eastAsia="zh-CN"/>
              </w:rPr>
            </w:pPr>
            <w:r>
              <w:rPr>
                <w:rFonts w:hint="eastAsia" w:ascii="微软雅黑" w:hAnsi="微软雅黑" w:eastAsia="微软雅黑" w:cs="微软雅黑"/>
                <w:bCs/>
                <w:color w:val="000000"/>
                <w:sz w:val="18"/>
                <w:szCs w:val="18"/>
                <w:lang w:val="en-US" w:eastAsia="zh-CN"/>
              </w:rPr>
              <w:t>体育管理</w:t>
            </w:r>
            <w:r>
              <w:rPr>
                <w:rFonts w:hint="eastAsia" w:ascii="微软雅黑" w:hAnsi="微软雅黑" w:eastAsia="微软雅黑" w:cs="微软雅黑"/>
                <w:bCs/>
                <w:color w:val="000000"/>
                <w:sz w:val="18"/>
                <w:szCs w:val="18"/>
              </w:rPr>
              <w:t>（Ph.D）</w:t>
            </w:r>
          </w:p>
        </w:tc>
        <w:tc>
          <w:tcPr>
            <w:tcW w:w="66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3年</w:t>
            </w:r>
          </w:p>
        </w:tc>
        <w:tc>
          <w:tcPr>
            <w:tcW w:w="658" w:type="dxa"/>
            <w:vMerge w:val="continue"/>
            <w:vAlign w:val="top"/>
          </w:tcPr>
          <w:p>
            <w:pPr>
              <w:spacing w:before="120" w:beforeLines="50" w:line="180" w:lineRule="exact"/>
              <w:jc w:val="center"/>
              <w:rPr>
                <w:rFonts w:hint="eastAsia" w:ascii="微软雅黑" w:hAnsi="微软雅黑" w:eastAsia="微软雅黑" w:cs="微软雅黑"/>
                <w:bCs/>
                <w:color w:val="000000"/>
                <w:sz w:val="18"/>
                <w:szCs w:val="18"/>
              </w:rPr>
            </w:pPr>
          </w:p>
        </w:tc>
        <w:tc>
          <w:tcPr>
            <w:tcW w:w="736"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15</w:t>
            </w:r>
          </w:p>
        </w:tc>
        <w:tc>
          <w:tcPr>
            <w:tcW w:w="704" w:type="dxa"/>
            <w:vMerge w:val="continue"/>
            <w:vAlign w:val="top"/>
          </w:tcPr>
          <w:p>
            <w:pPr>
              <w:spacing w:before="120" w:beforeLines="50" w:line="180" w:lineRule="exact"/>
              <w:jc w:val="center"/>
              <w:rPr>
                <w:rFonts w:hint="eastAsia" w:ascii="微软雅黑" w:hAnsi="微软雅黑" w:eastAsia="微软雅黑" w:cs="微软雅黑"/>
                <w:bCs/>
                <w:color w:val="000000"/>
                <w:sz w:val="18"/>
                <w:szCs w:val="18"/>
              </w:rPr>
            </w:pPr>
          </w:p>
        </w:tc>
        <w:tc>
          <w:tcPr>
            <w:tcW w:w="187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680000</w:t>
            </w:r>
          </w:p>
        </w:tc>
        <w:tc>
          <w:tcPr>
            <w:tcW w:w="870"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300000</w:t>
            </w:r>
          </w:p>
        </w:tc>
        <w:tc>
          <w:tcPr>
            <w:tcW w:w="82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无</w:t>
            </w:r>
          </w:p>
        </w:tc>
        <w:tc>
          <w:tcPr>
            <w:tcW w:w="1997"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98万泰铢</w:t>
            </w:r>
          </w:p>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约合2</w:t>
            </w:r>
            <w:r>
              <w:rPr>
                <w:rFonts w:hint="eastAsia" w:ascii="微软雅黑" w:hAnsi="微软雅黑" w:eastAsia="微软雅黑" w:cs="微软雅黑"/>
                <w:bCs/>
                <w:color w:val="000000"/>
                <w:sz w:val="18"/>
                <w:szCs w:val="18"/>
                <w:lang w:val="en-US" w:eastAsia="zh-CN"/>
              </w:rPr>
              <w:t>2</w:t>
            </w:r>
            <w:r>
              <w:rPr>
                <w:rFonts w:hint="eastAsia" w:ascii="微软雅黑" w:hAnsi="微软雅黑" w:eastAsia="微软雅黑" w:cs="微软雅黑"/>
                <w:bCs/>
                <w:color w:val="000000"/>
                <w:sz w:val="18"/>
                <w:szCs w:val="18"/>
              </w:rPr>
              <w:t>万人民币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80" w:type="dxa"/>
            <w:vAlign w:val="top"/>
          </w:tcPr>
          <w:p>
            <w:pPr>
              <w:spacing w:before="120" w:beforeLines="50" w:line="180" w:lineRule="exact"/>
              <w:jc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工商管理博士</w:t>
            </w:r>
          </w:p>
          <w:p>
            <w:pPr>
              <w:spacing w:before="120" w:beforeLines="50" w:line="180" w:lineRule="exact"/>
              <w:jc w:val="center"/>
              <w:rPr>
                <w:rFonts w:hint="default" w:ascii="微软雅黑" w:hAnsi="微软雅黑" w:eastAsia="微软雅黑" w:cs="微软雅黑"/>
                <w:sz w:val="18"/>
                <w:szCs w:val="18"/>
                <w:lang w:val="en-US" w:eastAsia="zh-CN"/>
              </w:rPr>
            </w:pPr>
          </w:p>
        </w:tc>
        <w:tc>
          <w:tcPr>
            <w:tcW w:w="167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sz w:val="18"/>
                <w:szCs w:val="18"/>
                <w:lang w:val="en-US" w:eastAsia="zh-CN"/>
              </w:rPr>
              <w:t>工商管理（DBA）</w:t>
            </w:r>
          </w:p>
        </w:tc>
        <w:tc>
          <w:tcPr>
            <w:tcW w:w="66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3年</w:t>
            </w:r>
          </w:p>
        </w:tc>
        <w:tc>
          <w:tcPr>
            <w:tcW w:w="658" w:type="dxa"/>
            <w:vMerge w:val="continue"/>
            <w:vAlign w:val="top"/>
          </w:tcPr>
          <w:p>
            <w:pPr>
              <w:spacing w:before="120" w:beforeLines="50" w:line="180" w:lineRule="exact"/>
              <w:jc w:val="center"/>
              <w:rPr>
                <w:rFonts w:hint="eastAsia" w:ascii="微软雅黑" w:hAnsi="微软雅黑" w:eastAsia="微软雅黑" w:cs="微软雅黑"/>
                <w:bCs/>
                <w:color w:val="000000"/>
                <w:sz w:val="18"/>
                <w:szCs w:val="18"/>
                <w:u w:color="000000"/>
                <w:lang w:val="en-US" w:eastAsia="zh-CN" w:bidi="ar-SA"/>
              </w:rPr>
            </w:pPr>
          </w:p>
        </w:tc>
        <w:tc>
          <w:tcPr>
            <w:tcW w:w="736" w:type="dxa"/>
            <w:vAlign w:val="top"/>
          </w:tcPr>
          <w:p>
            <w:pPr>
              <w:spacing w:before="120" w:beforeLines="50" w:line="180" w:lineRule="exact"/>
              <w:jc w:val="center"/>
              <w:rPr>
                <w:rFonts w:hint="eastAsia" w:ascii="微软雅黑" w:hAnsi="微软雅黑" w:eastAsia="微软雅黑" w:cs="微软雅黑"/>
                <w:bCs/>
                <w:color w:val="000000"/>
                <w:sz w:val="18"/>
                <w:szCs w:val="18"/>
                <w:u w:color="000000"/>
                <w:lang w:val="en-US" w:eastAsia="zh-CN" w:bidi="ar-SA"/>
              </w:rPr>
            </w:pPr>
            <w:r>
              <w:rPr>
                <w:rFonts w:hint="eastAsia" w:ascii="微软雅黑" w:hAnsi="微软雅黑" w:eastAsia="微软雅黑" w:cs="微软雅黑"/>
                <w:bCs/>
                <w:color w:val="000000"/>
                <w:sz w:val="18"/>
                <w:szCs w:val="18"/>
              </w:rPr>
              <w:t>15</w:t>
            </w:r>
          </w:p>
        </w:tc>
        <w:tc>
          <w:tcPr>
            <w:tcW w:w="704" w:type="dxa"/>
            <w:vMerge w:val="continue"/>
            <w:vAlign w:val="top"/>
          </w:tcPr>
          <w:p>
            <w:pPr>
              <w:spacing w:before="120" w:beforeLines="50" w:line="180" w:lineRule="exact"/>
              <w:jc w:val="center"/>
              <w:rPr>
                <w:rFonts w:hint="eastAsia" w:ascii="微软雅黑" w:hAnsi="微软雅黑" w:eastAsia="微软雅黑" w:cs="微软雅黑"/>
                <w:bCs/>
                <w:color w:val="000000"/>
                <w:sz w:val="18"/>
                <w:szCs w:val="18"/>
              </w:rPr>
            </w:pPr>
          </w:p>
        </w:tc>
        <w:tc>
          <w:tcPr>
            <w:tcW w:w="1875" w:type="dxa"/>
            <w:vAlign w:val="top"/>
          </w:tcPr>
          <w:p>
            <w:pPr>
              <w:spacing w:before="120" w:beforeLines="50" w:line="180" w:lineRule="exact"/>
              <w:jc w:val="center"/>
              <w:rPr>
                <w:rFonts w:hint="default" w:ascii="微软雅黑" w:hAnsi="微软雅黑" w:eastAsia="微软雅黑" w:cs="微软雅黑"/>
                <w:bCs/>
                <w:color w:val="000000"/>
                <w:sz w:val="18"/>
                <w:szCs w:val="18"/>
                <w:u w:color="000000"/>
                <w:lang w:val="en-US" w:eastAsia="zh-CN" w:bidi="ar-SA"/>
              </w:rPr>
            </w:pPr>
            <w:r>
              <w:rPr>
                <w:rFonts w:hint="eastAsia" w:ascii="微软雅黑" w:hAnsi="微软雅黑" w:eastAsia="微软雅黑" w:cs="微软雅黑"/>
                <w:bCs/>
                <w:color w:val="000000"/>
                <w:sz w:val="18"/>
                <w:szCs w:val="18"/>
                <w:lang w:val="en-US" w:eastAsia="zh-CN"/>
              </w:rPr>
              <w:t>15万</w:t>
            </w:r>
          </w:p>
        </w:tc>
        <w:tc>
          <w:tcPr>
            <w:tcW w:w="870" w:type="dxa"/>
            <w:vAlign w:val="top"/>
          </w:tcPr>
          <w:p>
            <w:pPr>
              <w:spacing w:before="120" w:beforeLines="50" w:line="180" w:lineRule="exact"/>
              <w:jc w:val="center"/>
              <w:rPr>
                <w:rFonts w:hint="default" w:ascii="微软雅黑" w:hAnsi="微软雅黑" w:eastAsia="微软雅黑" w:cs="微软雅黑"/>
                <w:bCs/>
                <w:color w:val="000000"/>
                <w:sz w:val="18"/>
                <w:szCs w:val="18"/>
                <w:u w:color="000000"/>
                <w:lang w:val="en-US" w:eastAsia="zh-CN" w:bidi="ar-SA"/>
              </w:rPr>
            </w:pPr>
            <w:r>
              <w:rPr>
                <w:rFonts w:hint="eastAsia" w:ascii="微软雅黑" w:hAnsi="微软雅黑" w:eastAsia="微软雅黑" w:cs="微软雅黑"/>
                <w:bCs/>
                <w:color w:val="000000"/>
                <w:sz w:val="18"/>
                <w:szCs w:val="18"/>
                <w:lang w:val="en-US" w:eastAsia="zh-CN"/>
              </w:rPr>
              <w:t>7.8万</w:t>
            </w:r>
          </w:p>
        </w:tc>
        <w:tc>
          <w:tcPr>
            <w:tcW w:w="82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无</w:t>
            </w:r>
          </w:p>
        </w:tc>
        <w:tc>
          <w:tcPr>
            <w:tcW w:w="1997"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lang w:val="en-US" w:eastAsia="zh-CN"/>
              </w:rPr>
              <w:t>22.8万</w:t>
            </w:r>
            <w:r>
              <w:rPr>
                <w:rFonts w:hint="eastAsia" w:ascii="微软雅黑" w:hAnsi="微软雅黑" w:eastAsia="微软雅黑" w:cs="微软雅黑"/>
                <w:bCs/>
                <w:color w:val="000000"/>
                <w:sz w:val="18"/>
                <w:szCs w:val="18"/>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80" w:type="dxa"/>
            <w:vAlign w:val="top"/>
          </w:tcPr>
          <w:p>
            <w:pPr>
              <w:spacing w:before="120" w:beforeLines="50" w:line="180" w:lineRule="exact"/>
              <w:jc w:val="cente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教育博士</w:t>
            </w:r>
          </w:p>
        </w:tc>
        <w:tc>
          <w:tcPr>
            <w:tcW w:w="1675" w:type="dxa"/>
            <w:vAlign w:val="top"/>
          </w:tcPr>
          <w:p>
            <w:pPr>
              <w:spacing w:before="120" w:beforeLines="50" w:line="180" w:lineRule="exact"/>
              <w:jc w:val="cente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教育管理</w:t>
            </w:r>
            <w:r>
              <w:rPr>
                <w:rFonts w:hint="eastAsia" w:ascii="微软雅黑" w:hAnsi="微软雅黑" w:eastAsia="微软雅黑" w:cs="微软雅黑"/>
                <w:bCs/>
                <w:color w:val="000000"/>
                <w:sz w:val="18"/>
                <w:szCs w:val="18"/>
              </w:rPr>
              <w:t>（Ph.D）</w:t>
            </w:r>
          </w:p>
        </w:tc>
        <w:tc>
          <w:tcPr>
            <w:tcW w:w="66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3年</w:t>
            </w:r>
          </w:p>
        </w:tc>
        <w:tc>
          <w:tcPr>
            <w:tcW w:w="658" w:type="dxa"/>
            <w:vMerge w:val="continue"/>
            <w:vAlign w:val="top"/>
          </w:tcPr>
          <w:p>
            <w:pPr>
              <w:spacing w:before="120" w:beforeLines="50" w:line="180" w:lineRule="exact"/>
              <w:jc w:val="center"/>
              <w:rPr>
                <w:rFonts w:hint="eastAsia" w:ascii="微软雅黑" w:hAnsi="微软雅黑" w:eastAsia="微软雅黑" w:cs="微软雅黑"/>
                <w:bCs/>
                <w:color w:val="000000"/>
                <w:sz w:val="18"/>
                <w:szCs w:val="18"/>
              </w:rPr>
            </w:pPr>
          </w:p>
        </w:tc>
        <w:tc>
          <w:tcPr>
            <w:tcW w:w="736"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15</w:t>
            </w:r>
          </w:p>
        </w:tc>
        <w:tc>
          <w:tcPr>
            <w:tcW w:w="704" w:type="dxa"/>
            <w:vMerge w:val="continue"/>
            <w:vAlign w:val="top"/>
          </w:tcPr>
          <w:p>
            <w:pPr>
              <w:spacing w:before="120" w:beforeLines="50" w:line="180" w:lineRule="exact"/>
              <w:jc w:val="center"/>
              <w:rPr>
                <w:rFonts w:hint="eastAsia" w:ascii="微软雅黑" w:hAnsi="微软雅黑" w:eastAsia="微软雅黑" w:cs="微软雅黑"/>
                <w:bCs/>
                <w:color w:val="000000"/>
                <w:sz w:val="18"/>
                <w:szCs w:val="18"/>
              </w:rPr>
            </w:pPr>
          </w:p>
        </w:tc>
        <w:tc>
          <w:tcPr>
            <w:tcW w:w="187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lang w:val="en-US" w:eastAsia="zh-CN"/>
              </w:rPr>
              <w:t>15万</w:t>
            </w:r>
          </w:p>
        </w:tc>
        <w:tc>
          <w:tcPr>
            <w:tcW w:w="870"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lang w:val="en-US" w:eastAsia="zh-CN"/>
              </w:rPr>
              <w:t>7.8万</w:t>
            </w:r>
          </w:p>
        </w:tc>
        <w:tc>
          <w:tcPr>
            <w:tcW w:w="825"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无</w:t>
            </w:r>
          </w:p>
        </w:tc>
        <w:tc>
          <w:tcPr>
            <w:tcW w:w="1997" w:type="dxa"/>
            <w:vAlign w:val="top"/>
          </w:tcPr>
          <w:p>
            <w:pPr>
              <w:spacing w:before="120" w:beforeLines="50" w:line="180" w:lineRule="exact"/>
              <w:jc w:val="center"/>
              <w:rPr>
                <w:rFonts w:hint="eastAsia"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lang w:val="en-US" w:eastAsia="zh-CN"/>
              </w:rPr>
              <w:t>22.8万</w:t>
            </w:r>
            <w:r>
              <w:rPr>
                <w:rFonts w:hint="eastAsia" w:ascii="微软雅黑" w:hAnsi="微软雅黑" w:eastAsia="微软雅黑" w:cs="微软雅黑"/>
                <w:bCs/>
                <w:color w:val="000000"/>
                <w:sz w:val="18"/>
                <w:szCs w:val="18"/>
              </w:rPr>
              <w:t>人民币</w:t>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3.全国各省市均有留学人才引进政策。 </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4.留学回国可享受购车免购置税。</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5.留学回国人员创业办公司可免三年税收和部分减免办公室租金，符合条件可获得政府提供创业资金支持20-100万元等。 </w:t>
      </w:r>
    </w:p>
    <w:p>
      <w:pPr>
        <w:spacing w:line="240" w:lineRule="auto"/>
        <w:rPr>
          <w:rFonts w:hint="eastAsia" w:ascii="微软雅黑" w:hAnsi="微软雅黑" w:eastAsia="微软雅黑" w:cs="微软雅黑"/>
          <w:color w:val="0000FF"/>
          <w:sz w:val="28"/>
          <w:szCs w:val="28"/>
          <w:lang w:val="zh-TW" w:eastAsia="zh-TW"/>
        </w:rPr>
      </w:pPr>
      <w:r>
        <w:rPr>
          <w:rFonts w:hint="eastAsia" w:ascii="微软雅黑" w:hAnsi="微软雅黑" w:eastAsia="微软雅黑" w:cs="微软雅黑"/>
          <w:color w:val="0000FF"/>
          <w:sz w:val="28"/>
          <w:szCs w:val="28"/>
          <w:lang w:val="zh-TW" w:eastAsia="zh-TW"/>
        </w:rPr>
        <w:t>实习就业推荐服务</w:t>
      </w:r>
    </w:p>
    <w:p>
      <w:pPr>
        <w:spacing w:line="540" w:lineRule="exact"/>
        <w:rPr>
          <w:rFonts w:hint="eastAsia" w:ascii="微软雅黑" w:hAnsi="微软雅黑" w:eastAsia="微软雅黑" w:cs="微软雅黑"/>
          <w:sz w:val="21"/>
          <w:szCs w:val="21"/>
          <w:lang w:val="en-US" w:eastAsia="zh-CN"/>
        </w:rPr>
      </w:pPr>
      <w:r>
        <w:rPr>
          <w:rFonts w:hint="eastAsia" w:ascii="Times New Roman" w:hAnsi="Times New Roman" w:eastAsia="宋体" w:cs="Times New Roman"/>
          <w:sz w:val="24"/>
          <w:szCs w:val="24"/>
          <w:shd w:val="clear" w:color="auto" w:fill="FFFFFF"/>
        </w:rPr>
        <w:t xml:space="preserve">   </w:t>
      </w:r>
      <w:r>
        <w:rPr>
          <w:rFonts w:hint="eastAsia" w:ascii="微软雅黑" w:hAnsi="微软雅黑" w:eastAsia="微软雅黑" w:cs="微软雅黑"/>
          <w:sz w:val="21"/>
          <w:szCs w:val="21"/>
        </w:rPr>
        <w:t>宣素那他皇家大学优秀毕业生可享受实习和就业推荐服务。毕业生在泰实习和工作，可推荐到KANTANA 集团，MK餐饮集团，APRIME集团，Australia Culinary Solution集团，Central中央百货集团，以及部分中资企业。取得硕士以上学位的毕业生回国可推荐至电力、石油石化、金融等行业（最终录用权归招聘企业），获得博士学位可推荐至国内部分高等院校、科研院所以及博士后工作站。</w:t>
      </w:r>
    </w:p>
    <w:p>
      <w:pPr>
        <w:spacing w:line="240" w:lineRule="auto"/>
        <w:rPr>
          <w:rFonts w:hint="default" w:ascii="微软雅黑" w:hAnsi="微软雅黑" w:eastAsia="微软雅黑" w:cs="微软雅黑"/>
          <w:color w:val="0000FF"/>
          <w:sz w:val="28"/>
          <w:szCs w:val="28"/>
          <w:lang w:val="en-US" w:eastAsia="zh-CN"/>
        </w:rPr>
      </w:pPr>
      <w:r>
        <w:rPr>
          <w:rFonts w:hint="eastAsia" w:ascii="微软雅黑" w:hAnsi="微软雅黑" w:eastAsia="微软雅黑" w:cs="微软雅黑"/>
          <w:color w:val="0000FF"/>
          <w:sz w:val="28"/>
          <w:szCs w:val="28"/>
          <w:lang w:val="en-US" w:eastAsia="zh-CN"/>
        </w:rPr>
        <w:t>招生专业、学制、课程安排、学杂费</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zh-CN" w:eastAsia="zh-TW"/>
        </w:rPr>
      </w:pPr>
      <w:r>
        <w:rPr>
          <w:rFonts w:hint="eastAsia" w:ascii="微软雅黑" w:hAnsi="微软雅黑" w:eastAsia="微软雅黑" w:cs="微软雅黑"/>
          <w:color w:val="0000FF"/>
          <w:sz w:val="21"/>
          <w:szCs w:val="21"/>
          <w:lang w:val="zh-CN" w:eastAsia="zh-TW"/>
        </w:rPr>
        <w:t>项目特色</w:t>
      </w:r>
      <w:r>
        <w:rPr>
          <w:rFonts w:hint="eastAsia" w:ascii="微软雅黑" w:hAnsi="微软雅黑" w:eastAsia="微软雅黑" w:cs="微软雅黑"/>
          <w:sz w:val="21"/>
          <w:szCs w:val="21"/>
          <w:lang w:val="zh-CN" w:eastAsia="zh-TW"/>
        </w:rPr>
        <w:t>：</w:t>
      </w:r>
      <w:r>
        <w:rPr>
          <w:rFonts w:hint="eastAsia" w:ascii="微软雅黑" w:hAnsi="微软雅黑" w:eastAsia="微软雅黑" w:cs="微软雅黑"/>
          <w:sz w:val="21"/>
          <w:szCs w:val="21"/>
          <w:lang w:val="en-US" w:eastAsia="zh-CN"/>
        </w:rPr>
        <w:t>多语言培训项目</w:t>
      </w:r>
      <w:r>
        <w:rPr>
          <w:rFonts w:hint="eastAsia" w:ascii="微软雅黑" w:hAnsi="微软雅黑" w:eastAsia="微软雅黑" w:cs="微软雅黑"/>
          <w:sz w:val="21"/>
          <w:szCs w:val="21"/>
          <w:lang w:val="zh-TW" w:eastAsia="zh-TW"/>
        </w:rPr>
        <w:t>入学无需雅思托福</w:t>
      </w:r>
      <w:r>
        <w:rPr>
          <w:rFonts w:hint="eastAsia" w:ascii="微软雅黑" w:hAnsi="微软雅黑" w:eastAsia="微软雅黑" w:cs="微软雅黑"/>
          <w:sz w:val="21"/>
          <w:szCs w:val="21"/>
          <w:lang w:val="zh-CN" w:eastAsia="zh-CN"/>
        </w:rPr>
        <w:t>成绩要求</w:t>
      </w:r>
      <w:r>
        <w:rPr>
          <w:rFonts w:hint="eastAsia" w:ascii="微软雅黑" w:hAnsi="微软雅黑" w:eastAsia="微软雅黑" w:cs="微软雅黑"/>
          <w:sz w:val="21"/>
          <w:szCs w:val="21"/>
          <w:lang w:val="zh-TW" w:eastAsia="zh-TW"/>
        </w:rPr>
        <w:t>。</w:t>
      </w:r>
      <w:r>
        <w:rPr>
          <w:rFonts w:hint="eastAsia" w:ascii="微软雅黑" w:hAnsi="微软雅黑" w:eastAsia="微软雅黑" w:cs="微软雅黑"/>
          <w:sz w:val="21"/>
          <w:szCs w:val="21"/>
          <w:lang w:val="en-US" w:eastAsia="zh-CN"/>
        </w:rPr>
        <w:t>英语授课，多语言辅导。</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zh-CN" w:eastAsia="zh-TW"/>
        </w:rPr>
      </w:pPr>
      <w:r>
        <w:rPr>
          <w:rFonts w:hint="eastAsia" w:ascii="微软雅黑" w:hAnsi="微软雅黑" w:eastAsia="微软雅黑" w:cs="微软雅黑"/>
          <w:color w:val="0000FF"/>
          <w:sz w:val="21"/>
          <w:szCs w:val="21"/>
          <w:lang w:val="zh-CN" w:eastAsia="zh-TW"/>
        </w:rPr>
        <w:t>费用说明</w:t>
      </w:r>
      <w:r>
        <w:rPr>
          <w:rFonts w:hint="eastAsia" w:ascii="微软雅黑" w:hAnsi="微软雅黑" w:eastAsia="微软雅黑" w:cs="微软雅黑"/>
          <w:sz w:val="21"/>
          <w:szCs w:val="21"/>
          <w:lang w:val="zh-CN" w:eastAsia="zh-TW"/>
        </w:rPr>
        <w:t>：包含:学费、注册费、国际学生管理费、论文指导费、图书馆资源费、学生境内外服务费。</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zh-CN" w:eastAsia="zh-TW"/>
        </w:rPr>
      </w:pPr>
      <w:r>
        <w:rPr>
          <w:rFonts w:hint="eastAsia" w:ascii="微软雅黑" w:hAnsi="微软雅黑" w:eastAsia="微软雅黑" w:cs="微软雅黑"/>
          <w:sz w:val="21"/>
          <w:szCs w:val="21"/>
          <w:lang w:val="zh-CN" w:eastAsia="zh-TW"/>
        </w:rPr>
        <w:t>不包含：签证费、申请费、公证费、双认证费、教材费、保险费用、课程重修、教学中的外出参观实习、教学之外的英语补习、食宿费、境内外学历学位认证等费用。学生入学注册后，由于学生自身原因</w:t>
      </w:r>
      <w:r>
        <w:rPr>
          <w:rFonts w:hint="eastAsia" w:ascii="微软雅黑" w:hAnsi="微软雅黑" w:eastAsia="微软雅黑" w:cs="微软雅黑"/>
          <w:sz w:val="21"/>
          <w:szCs w:val="21"/>
          <w:lang w:val="en-US" w:eastAsia="zh-CN"/>
        </w:rPr>
        <w:t>退学</w:t>
      </w:r>
      <w:r>
        <w:rPr>
          <w:rFonts w:hint="eastAsia" w:ascii="微软雅黑" w:hAnsi="微软雅黑" w:eastAsia="微软雅黑" w:cs="微软雅黑"/>
          <w:sz w:val="21"/>
          <w:szCs w:val="21"/>
          <w:lang w:val="zh-CN" w:eastAsia="zh-TW"/>
        </w:rPr>
        <w:t>，或违纪开除所缴纳费用不退。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0000FF"/>
          <w:sz w:val="21"/>
          <w:szCs w:val="21"/>
          <w:lang w:val="zh-TW" w:eastAsia="zh-TW"/>
        </w:rPr>
        <w:t>入学申请</w:t>
      </w:r>
      <w:r>
        <w:rPr>
          <w:rFonts w:hint="eastAsia" w:ascii="微软雅黑" w:hAnsi="微软雅黑" w:eastAsia="微软雅黑" w:cs="微软雅黑"/>
          <w:sz w:val="21"/>
          <w:szCs w:val="21"/>
          <w:lang w:val="zh-TW" w:eastAsia="zh-TW"/>
        </w:rPr>
        <w:t>：每年三个学期，1月、9月入学</w:t>
      </w:r>
      <w:r>
        <w:rPr>
          <w:rFonts w:hint="eastAsia" w:ascii="微软雅黑" w:hAnsi="微软雅黑" w:eastAsia="微软雅黑" w:cs="微软雅黑"/>
          <w:sz w:val="21"/>
          <w:szCs w:val="21"/>
          <w:lang w:val="zh-TW" w:eastAsia="zh-CN"/>
        </w:rPr>
        <w:t>；</w:t>
      </w:r>
      <w:r>
        <w:rPr>
          <w:rFonts w:hint="eastAsia" w:ascii="微软雅黑" w:hAnsi="微软雅黑" w:eastAsia="微软雅黑" w:cs="微软雅黑"/>
          <w:sz w:val="21"/>
          <w:szCs w:val="21"/>
          <w:lang w:val="en-US" w:eastAsia="zh-CN"/>
        </w:rPr>
        <w:t>硕博集中授课班1月、7月入学。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授课校区</w:t>
      </w:r>
      <w:r>
        <w:rPr>
          <w:rFonts w:hint="eastAsia" w:ascii="微软雅黑" w:hAnsi="微软雅黑" w:eastAsia="微软雅黑" w:cs="微软雅黑"/>
          <w:sz w:val="21"/>
          <w:szCs w:val="21"/>
          <w:lang w:val="zh-TW" w:eastAsia="zh-TW"/>
        </w:rPr>
        <w:t>：全程在主校区学习。</w:t>
      </w:r>
      <w:bookmarkStart w:id="0" w:name="_GoBack"/>
      <w:bookmarkEnd w:id="0"/>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zh-TW" w:eastAsia="zh-TW"/>
        </w:rPr>
      </w:pPr>
      <w:r>
        <w:rPr>
          <w:rFonts w:hint="eastAsia" w:ascii="微软雅黑" w:hAnsi="微软雅黑" w:eastAsia="微软雅黑" w:cs="微软雅黑"/>
          <w:color w:val="0000FF"/>
          <w:sz w:val="21"/>
          <w:szCs w:val="21"/>
          <w:lang w:val="zh-TW" w:eastAsia="zh-TW"/>
        </w:rPr>
        <w:t>授予学位</w:t>
      </w:r>
      <w:r>
        <w:rPr>
          <w:rFonts w:hint="eastAsia" w:ascii="微软雅黑" w:hAnsi="微软雅黑" w:eastAsia="微软雅黑" w:cs="微软雅黑"/>
          <w:sz w:val="21"/>
          <w:szCs w:val="21"/>
          <w:lang w:val="zh-TW" w:eastAsia="zh-TW"/>
        </w:rPr>
        <w:t>：学生毕业时符合授予学位条件者，由泰国宣素那他皇家大学授予学位。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特别说明：疫情期间上网课，疫情过后再出国上课。</w:t>
      </w:r>
    </w:p>
    <w:p>
      <w:pPr>
        <w:spacing w:line="240" w:lineRule="auto"/>
        <w:rPr>
          <w:rFonts w:hint="eastAsia" w:ascii="微软雅黑" w:hAnsi="微软雅黑" w:eastAsia="微软雅黑" w:cs="微软雅黑"/>
          <w:color w:val="0000FF"/>
          <w:sz w:val="28"/>
          <w:szCs w:val="28"/>
          <w:lang w:val="zh-TW" w:eastAsia="zh-TW"/>
        </w:rPr>
      </w:pPr>
      <w:r>
        <w:rPr>
          <w:rFonts w:hint="eastAsia" w:ascii="微软雅黑" w:hAnsi="微软雅黑" w:eastAsia="微软雅黑" w:cs="微软雅黑"/>
          <w:color w:val="0000FF"/>
          <w:sz w:val="28"/>
          <w:szCs w:val="28"/>
          <w:lang w:val="en-US" w:eastAsia="zh-CN"/>
        </w:rPr>
        <w:t>入学</w:t>
      </w:r>
      <w:r>
        <w:rPr>
          <w:rFonts w:hint="eastAsia" w:ascii="微软雅黑" w:hAnsi="微软雅黑" w:eastAsia="微软雅黑" w:cs="微软雅黑"/>
          <w:color w:val="0000FF"/>
          <w:sz w:val="28"/>
          <w:szCs w:val="28"/>
          <w:lang w:val="zh-TW" w:eastAsia="zh-TW"/>
        </w:rPr>
        <w:t>流程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TW" w:eastAsia="zh-TW"/>
        </w:rPr>
        <w:t>第一步：准备材料</w:t>
      </w:r>
      <w:r>
        <w:rPr>
          <w:rFonts w:hint="eastAsia" w:ascii="微软雅黑" w:hAnsi="微软雅黑" w:eastAsia="微软雅黑" w:cs="微软雅黑"/>
          <w:sz w:val="21"/>
          <w:szCs w:val="21"/>
          <w:lang w:val="zh-TW" w:eastAsia="zh-CN"/>
        </w:rPr>
        <w:t>，</w:t>
      </w:r>
      <w:r>
        <w:rPr>
          <w:rFonts w:hint="eastAsia" w:ascii="微软雅黑" w:hAnsi="微软雅黑" w:eastAsia="微软雅黑" w:cs="微软雅黑"/>
          <w:sz w:val="21"/>
          <w:szCs w:val="21"/>
          <w:lang w:val="zh-TW" w:eastAsia="zh-TW"/>
        </w:rPr>
        <w:t>填写《入学申请表》。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zh-TW" w:eastAsia="zh-TW"/>
        </w:rPr>
      </w:pPr>
      <w:r>
        <w:rPr>
          <w:rFonts w:hint="eastAsia" w:ascii="微软雅黑" w:hAnsi="微软雅黑" w:eastAsia="微软雅黑" w:cs="微软雅黑"/>
          <w:sz w:val="21"/>
          <w:szCs w:val="21"/>
          <w:lang w:val="zh-TW" w:eastAsia="zh-TW"/>
        </w:rPr>
        <w:t>第二步：提交材料并审核，通过后参加入学笔试和面试，合格者缴纳申请费，硕士申请费 10000 元</w:t>
      </w:r>
      <w:r>
        <w:rPr>
          <w:rFonts w:hint="eastAsia" w:ascii="微软雅黑" w:hAnsi="微软雅黑" w:eastAsia="微软雅黑" w:cs="微软雅黑"/>
          <w:sz w:val="21"/>
          <w:szCs w:val="21"/>
          <w:lang w:val="zh-TW" w:eastAsia="zh-CN"/>
        </w:rPr>
        <w:t>；</w:t>
      </w:r>
      <w:r>
        <w:rPr>
          <w:rFonts w:hint="eastAsia" w:ascii="微软雅黑" w:hAnsi="微软雅黑" w:eastAsia="微软雅黑" w:cs="微软雅黑"/>
          <w:sz w:val="21"/>
          <w:szCs w:val="21"/>
          <w:lang w:val="en-US" w:eastAsia="zh-CN"/>
        </w:rPr>
        <w:t>博士申请费5万泰铢，</w:t>
      </w:r>
      <w:r>
        <w:rPr>
          <w:rFonts w:hint="eastAsia" w:ascii="微软雅黑" w:hAnsi="微软雅黑" w:eastAsia="微软雅黑" w:cs="微软雅黑"/>
          <w:sz w:val="21"/>
          <w:szCs w:val="21"/>
          <w:lang w:val="zh-TW" w:eastAsia="zh-TW"/>
        </w:rPr>
        <w:t xml:space="preserve">申请录取通知书。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TW" w:eastAsia="zh-TW"/>
        </w:rPr>
        <w:t>第三步：学生收到大学录取通知书并</w:t>
      </w:r>
      <w:r>
        <w:rPr>
          <w:rFonts w:hint="eastAsia" w:ascii="微软雅黑" w:hAnsi="微软雅黑" w:eastAsia="微软雅黑" w:cs="微软雅黑"/>
          <w:sz w:val="21"/>
          <w:szCs w:val="21"/>
          <w:lang w:val="en-US" w:eastAsia="zh-CN"/>
        </w:rPr>
        <w:t>缴费，签订学生承诺书和告知书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zh-TW" w:eastAsia="zh-CN"/>
        </w:rPr>
      </w:pPr>
      <w:r>
        <w:rPr>
          <w:rFonts w:hint="eastAsia" w:ascii="微软雅黑" w:hAnsi="微软雅黑" w:eastAsia="微软雅黑" w:cs="微软雅黑"/>
          <w:sz w:val="21"/>
          <w:szCs w:val="21"/>
          <w:lang w:val="zh-TW" w:eastAsia="zh-TW"/>
        </w:rPr>
        <w:t>第四步：大学收到学费，协助学生办理留学签证</w:t>
      </w:r>
      <w:r>
        <w:rPr>
          <w:rFonts w:hint="eastAsia" w:ascii="微软雅黑" w:hAnsi="微软雅黑" w:eastAsia="微软雅黑" w:cs="微软雅黑"/>
          <w:sz w:val="21"/>
          <w:szCs w:val="21"/>
          <w:lang w:val="zh-TW"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TW" w:eastAsia="zh-TW"/>
        </w:rPr>
        <w:t>第五步：准备出国，领取出国注意事项手册、学生守则、确定住宿、安排出发及学校接机事宜。</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val="en-US" w:eastAsia="zh-CN"/>
        </w:rPr>
        <w:t>联系人</w:t>
      </w:r>
      <w:r>
        <w:rPr>
          <w:rFonts w:hint="eastAsia" w:ascii="微软雅黑" w:hAnsi="微软雅黑" w:eastAsia="微软雅黑" w:cs="微软雅黑"/>
          <w:color w:val="0000FF"/>
          <w:sz w:val="21"/>
          <w:szCs w:val="21"/>
          <w:lang w:val="en-US" w:eastAsia="zh-CN"/>
        </w:rPr>
        <w:t>：</w:t>
      </w:r>
      <w:r>
        <w:rPr>
          <w:rFonts w:hint="eastAsia" w:ascii="微软雅黑" w:hAnsi="微软雅黑" w:eastAsia="微软雅黑" w:cs="微软雅黑"/>
          <w:sz w:val="21"/>
          <w:szCs w:val="21"/>
          <w:lang w:val="en-US" w:eastAsia="zh-CN"/>
        </w:rPr>
        <w:t>宣素那他皇家大学国际学院事务中心陈乐乐  电话/微信：18618310593</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微软雅黑" w:hAnsi="微软雅黑" w:eastAsia="微软雅黑" w:cs="微软雅黑"/>
          <w:sz w:val="21"/>
          <w:szCs w:val="21"/>
          <w:lang w:val="en-US" w:eastAsia="zh-CN"/>
        </w:rPr>
      </w:pPr>
    </w:p>
    <w:p>
      <w:pPr>
        <w:spacing w:line="540" w:lineRule="exact"/>
        <w:rPr>
          <w:rFonts w:hint="eastAsia" w:ascii="微软雅黑" w:hAnsi="微软雅黑" w:eastAsia="微软雅黑" w:cs="微软雅黑"/>
          <w:b/>
          <w:bCs/>
          <w:color w:val="0000FF"/>
          <w:sz w:val="21"/>
          <w:szCs w:val="21"/>
          <w:lang w:val="en-US" w:eastAsia="zh-CN"/>
        </w:rPr>
      </w:pPr>
      <w:r>
        <w:rPr>
          <w:rFonts w:hint="eastAsia" w:ascii="微软雅黑" w:hAnsi="微软雅黑" w:eastAsia="微软雅黑" w:cs="微软雅黑"/>
          <w:b/>
          <w:bCs/>
          <w:color w:val="0000FF"/>
          <w:sz w:val="21"/>
          <w:szCs w:val="21"/>
          <w:lang w:val="en-US" w:eastAsia="zh-CN"/>
        </w:rPr>
        <w:t>环境实景:</w:t>
      </w:r>
    </w:p>
    <w:p>
      <w:pPr>
        <w:tabs>
          <w:tab w:val="left" w:pos="7140"/>
        </w:tabs>
        <w:spacing w:line="240" w:lineRule="auto"/>
        <w:rPr>
          <w:rFonts w:hint="eastAsia" w:eastAsia="宋体"/>
          <w:lang w:val="en-US" w:eastAsia="zh-CN"/>
        </w:rPr>
      </w:pPr>
      <w:r>
        <w:drawing>
          <wp:inline distT="0" distB="0" distL="114300" distR="114300">
            <wp:extent cx="3103880" cy="2325370"/>
            <wp:effectExtent l="0" t="0" r="1270" b="1778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8"/>
                    <a:stretch>
                      <a:fillRect/>
                    </a:stretch>
                  </pic:blipFill>
                  <pic:spPr>
                    <a:xfrm>
                      <a:off x="0" y="0"/>
                      <a:ext cx="3103880" cy="23253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049905" cy="2325370"/>
            <wp:effectExtent l="0" t="0" r="17145" b="1778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3049905" cy="2325370"/>
                    </a:xfrm>
                    <a:prstGeom prst="rect">
                      <a:avLst/>
                    </a:prstGeom>
                    <a:noFill/>
                    <a:ln>
                      <a:noFill/>
                    </a:ln>
                  </pic:spPr>
                </pic:pic>
              </a:graphicData>
            </a:graphic>
          </wp:inline>
        </w:drawing>
      </w:r>
    </w:p>
    <w:p>
      <w:pPr>
        <w:tabs>
          <w:tab w:val="left" w:pos="7140"/>
        </w:tabs>
        <w:spacing w:line="240" w:lineRule="auto"/>
        <w:rPr>
          <w:rFonts w:hint="eastAsia" w:ascii="微软雅黑" w:hAnsi="微软雅黑" w:eastAsia="微软雅黑" w:cs="微软雅黑"/>
          <w:b/>
          <w:bCs/>
          <w:color w:val="0000FF"/>
          <w:sz w:val="24"/>
          <w:lang w:eastAsia="zh-CN"/>
        </w:rPr>
      </w:pPr>
      <w:r>
        <w:drawing>
          <wp:inline distT="0" distB="0" distL="114300" distR="114300">
            <wp:extent cx="6290310" cy="3339465"/>
            <wp:effectExtent l="0" t="0" r="15240" b="133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6290310" cy="3339465"/>
                    </a:xfrm>
                    <a:prstGeom prst="rect">
                      <a:avLst/>
                    </a:prstGeom>
                    <a:noFill/>
                    <a:ln>
                      <a:noFill/>
                    </a:ln>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Neue">
    <w:altName w:val="Segoe Print"/>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71B"/>
    <w:rsid w:val="00265E26"/>
    <w:rsid w:val="00364D90"/>
    <w:rsid w:val="007D52FA"/>
    <w:rsid w:val="008B371B"/>
    <w:rsid w:val="00BD5E58"/>
    <w:rsid w:val="00EE0C92"/>
    <w:rsid w:val="00F60FED"/>
    <w:rsid w:val="01A35BB7"/>
    <w:rsid w:val="01AE595A"/>
    <w:rsid w:val="02340890"/>
    <w:rsid w:val="025C256C"/>
    <w:rsid w:val="028F49FE"/>
    <w:rsid w:val="02CB7254"/>
    <w:rsid w:val="03515C54"/>
    <w:rsid w:val="03567FEC"/>
    <w:rsid w:val="03A10E4B"/>
    <w:rsid w:val="03D2221A"/>
    <w:rsid w:val="03D83FA6"/>
    <w:rsid w:val="04284224"/>
    <w:rsid w:val="046667E4"/>
    <w:rsid w:val="056B40D4"/>
    <w:rsid w:val="05F120CA"/>
    <w:rsid w:val="06F45730"/>
    <w:rsid w:val="076E13BE"/>
    <w:rsid w:val="078C17C2"/>
    <w:rsid w:val="07DC21FF"/>
    <w:rsid w:val="08B258F6"/>
    <w:rsid w:val="08C110F4"/>
    <w:rsid w:val="09094FBE"/>
    <w:rsid w:val="091B4E17"/>
    <w:rsid w:val="09706761"/>
    <w:rsid w:val="09F20C7F"/>
    <w:rsid w:val="0A3C5701"/>
    <w:rsid w:val="0A7F7B15"/>
    <w:rsid w:val="0A983901"/>
    <w:rsid w:val="0B407AF7"/>
    <w:rsid w:val="0B9928F6"/>
    <w:rsid w:val="0BD52D08"/>
    <w:rsid w:val="0BF04EB9"/>
    <w:rsid w:val="0D0538B3"/>
    <w:rsid w:val="0D1208CC"/>
    <w:rsid w:val="0D2E03E3"/>
    <w:rsid w:val="0D4B7507"/>
    <w:rsid w:val="0D8F4537"/>
    <w:rsid w:val="0D997E72"/>
    <w:rsid w:val="0F487A05"/>
    <w:rsid w:val="0FF3337C"/>
    <w:rsid w:val="10BF385B"/>
    <w:rsid w:val="10C571A4"/>
    <w:rsid w:val="10D903E6"/>
    <w:rsid w:val="11122D9B"/>
    <w:rsid w:val="115540B1"/>
    <w:rsid w:val="11580A72"/>
    <w:rsid w:val="118E25DF"/>
    <w:rsid w:val="11CB10D0"/>
    <w:rsid w:val="126126F0"/>
    <w:rsid w:val="12B20347"/>
    <w:rsid w:val="12F360A4"/>
    <w:rsid w:val="12F57398"/>
    <w:rsid w:val="13BF5349"/>
    <w:rsid w:val="146013E3"/>
    <w:rsid w:val="14F93FA9"/>
    <w:rsid w:val="15B6451F"/>
    <w:rsid w:val="165B01C1"/>
    <w:rsid w:val="171B0A7F"/>
    <w:rsid w:val="18110CE4"/>
    <w:rsid w:val="182B3F1A"/>
    <w:rsid w:val="184B5BA5"/>
    <w:rsid w:val="190677CD"/>
    <w:rsid w:val="19434A74"/>
    <w:rsid w:val="199722FA"/>
    <w:rsid w:val="19BD57EE"/>
    <w:rsid w:val="19EC2C3B"/>
    <w:rsid w:val="1A5F1DAF"/>
    <w:rsid w:val="1A942033"/>
    <w:rsid w:val="1B1E7605"/>
    <w:rsid w:val="1B6F7CDA"/>
    <w:rsid w:val="1B7854AB"/>
    <w:rsid w:val="1BB768D3"/>
    <w:rsid w:val="1BCE6C12"/>
    <w:rsid w:val="1C1454E5"/>
    <w:rsid w:val="1C2E09A4"/>
    <w:rsid w:val="1D86397F"/>
    <w:rsid w:val="1DAB7074"/>
    <w:rsid w:val="1F456E1D"/>
    <w:rsid w:val="1F7C263B"/>
    <w:rsid w:val="1F9E25AA"/>
    <w:rsid w:val="1FCB3F39"/>
    <w:rsid w:val="20192C5C"/>
    <w:rsid w:val="20F217E1"/>
    <w:rsid w:val="21DA0DA4"/>
    <w:rsid w:val="220F0FD9"/>
    <w:rsid w:val="22494608"/>
    <w:rsid w:val="2308050D"/>
    <w:rsid w:val="23953490"/>
    <w:rsid w:val="23E22D2C"/>
    <w:rsid w:val="23F6445F"/>
    <w:rsid w:val="244014A2"/>
    <w:rsid w:val="24932B7A"/>
    <w:rsid w:val="24EE579C"/>
    <w:rsid w:val="250F2A06"/>
    <w:rsid w:val="254367B4"/>
    <w:rsid w:val="25A2081C"/>
    <w:rsid w:val="264B18EA"/>
    <w:rsid w:val="265A336F"/>
    <w:rsid w:val="265C53D0"/>
    <w:rsid w:val="26FE6CCF"/>
    <w:rsid w:val="27106B68"/>
    <w:rsid w:val="278213BD"/>
    <w:rsid w:val="27A36062"/>
    <w:rsid w:val="291F2025"/>
    <w:rsid w:val="29215DD3"/>
    <w:rsid w:val="2952491C"/>
    <w:rsid w:val="29FD33A0"/>
    <w:rsid w:val="2A435ECD"/>
    <w:rsid w:val="2A763F6B"/>
    <w:rsid w:val="2AA46B5E"/>
    <w:rsid w:val="2AC27909"/>
    <w:rsid w:val="2B3A235F"/>
    <w:rsid w:val="2C3A36EC"/>
    <w:rsid w:val="2CEE2952"/>
    <w:rsid w:val="2D2C1D96"/>
    <w:rsid w:val="2D5D477A"/>
    <w:rsid w:val="2DC64137"/>
    <w:rsid w:val="2DCD41D9"/>
    <w:rsid w:val="2E5B0CF4"/>
    <w:rsid w:val="2E663739"/>
    <w:rsid w:val="2F1A2574"/>
    <w:rsid w:val="2FFC3D46"/>
    <w:rsid w:val="301767FC"/>
    <w:rsid w:val="311A4214"/>
    <w:rsid w:val="314A46B9"/>
    <w:rsid w:val="31B304F1"/>
    <w:rsid w:val="32301AD5"/>
    <w:rsid w:val="32A55264"/>
    <w:rsid w:val="333F34EA"/>
    <w:rsid w:val="33721BFE"/>
    <w:rsid w:val="3386466A"/>
    <w:rsid w:val="341203CE"/>
    <w:rsid w:val="34320C54"/>
    <w:rsid w:val="34547595"/>
    <w:rsid w:val="34C5179C"/>
    <w:rsid w:val="34C54161"/>
    <w:rsid w:val="34C84285"/>
    <w:rsid w:val="35177FB9"/>
    <w:rsid w:val="363C4514"/>
    <w:rsid w:val="36483CF2"/>
    <w:rsid w:val="364B34A6"/>
    <w:rsid w:val="36752F05"/>
    <w:rsid w:val="36941D0A"/>
    <w:rsid w:val="37131265"/>
    <w:rsid w:val="37C21FC0"/>
    <w:rsid w:val="38000B28"/>
    <w:rsid w:val="382432E4"/>
    <w:rsid w:val="38427803"/>
    <w:rsid w:val="38796EA5"/>
    <w:rsid w:val="38985077"/>
    <w:rsid w:val="39243F67"/>
    <w:rsid w:val="394F1E90"/>
    <w:rsid w:val="398B1D4D"/>
    <w:rsid w:val="3AA50416"/>
    <w:rsid w:val="3AF80DF9"/>
    <w:rsid w:val="3B4A663F"/>
    <w:rsid w:val="3B601406"/>
    <w:rsid w:val="3B7317A7"/>
    <w:rsid w:val="3B89019E"/>
    <w:rsid w:val="3BB92552"/>
    <w:rsid w:val="3C731312"/>
    <w:rsid w:val="3C920D74"/>
    <w:rsid w:val="3CB91EF8"/>
    <w:rsid w:val="3CDD32FB"/>
    <w:rsid w:val="3D9C5E72"/>
    <w:rsid w:val="3DF14909"/>
    <w:rsid w:val="3E2512EB"/>
    <w:rsid w:val="3E6A5180"/>
    <w:rsid w:val="3E79581A"/>
    <w:rsid w:val="3EAF2B58"/>
    <w:rsid w:val="4020313A"/>
    <w:rsid w:val="4050474F"/>
    <w:rsid w:val="40F67C03"/>
    <w:rsid w:val="4107151C"/>
    <w:rsid w:val="416801EC"/>
    <w:rsid w:val="417E3E5D"/>
    <w:rsid w:val="41AF013A"/>
    <w:rsid w:val="41D067E8"/>
    <w:rsid w:val="41E12334"/>
    <w:rsid w:val="42AC69C2"/>
    <w:rsid w:val="43216C7F"/>
    <w:rsid w:val="435432D9"/>
    <w:rsid w:val="435A5568"/>
    <w:rsid w:val="43C60696"/>
    <w:rsid w:val="43F11D6C"/>
    <w:rsid w:val="459166C9"/>
    <w:rsid w:val="45F260F8"/>
    <w:rsid w:val="45F913FA"/>
    <w:rsid w:val="463B1DC2"/>
    <w:rsid w:val="463F56BE"/>
    <w:rsid w:val="468526AA"/>
    <w:rsid w:val="46C8012B"/>
    <w:rsid w:val="46FC51C2"/>
    <w:rsid w:val="4723145F"/>
    <w:rsid w:val="47312036"/>
    <w:rsid w:val="4764057F"/>
    <w:rsid w:val="48AF2FAC"/>
    <w:rsid w:val="4919468B"/>
    <w:rsid w:val="494B595B"/>
    <w:rsid w:val="499F3B2D"/>
    <w:rsid w:val="49B62D3E"/>
    <w:rsid w:val="49FA485F"/>
    <w:rsid w:val="49FB0991"/>
    <w:rsid w:val="4A2C2809"/>
    <w:rsid w:val="4A980429"/>
    <w:rsid w:val="4ADA6B57"/>
    <w:rsid w:val="4B062BA3"/>
    <w:rsid w:val="4BBA4FE4"/>
    <w:rsid w:val="4BE31789"/>
    <w:rsid w:val="4C005B09"/>
    <w:rsid w:val="4CF73E9C"/>
    <w:rsid w:val="4D5369D3"/>
    <w:rsid w:val="4E423478"/>
    <w:rsid w:val="4F1D1DE0"/>
    <w:rsid w:val="4F2D6EA1"/>
    <w:rsid w:val="4F315912"/>
    <w:rsid w:val="4F6D28E2"/>
    <w:rsid w:val="4F755311"/>
    <w:rsid w:val="4FD76A0C"/>
    <w:rsid w:val="4FE4675A"/>
    <w:rsid w:val="50104806"/>
    <w:rsid w:val="50395490"/>
    <w:rsid w:val="51037ADB"/>
    <w:rsid w:val="51050B5E"/>
    <w:rsid w:val="51873849"/>
    <w:rsid w:val="51BF09FC"/>
    <w:rsid w:val="524A111C"/>
    <w:rsid w:val="525A75A0"/>
    <w:rsid w:val="525B3B8D"/>
    <w:rsid w:val="52635E6A"/>
    <w:rsid w:val="528141A1"/>
    <w:rsid w:val="52AA7160"/>
    <w:rsid w:val="52AA7CBF"/>
    <w:rsid w:val="52CC2BE6"/>
    <w:rsid w:val="52D87E6C"/>
    <w:rsid w:val="535A306B"/>
    <w:rsid w:val="53E43590"/>
    <w:rsid w:val="53F228BB"/>
    <w:rsid w:val="543A5854"/>
    <w:rsid w:val="551D6CFF"/>
    <w:rsid w:val="55705AA2"/>
    <w:rsid w:val="557A138F"/>
    <w:rsid w:val="559D76F3"/>
    <w:rsid w:val="55D56F5A"/>
    <w:rsid w:val="5612439D"/>
    <w:rsid w:val="56DA677A"/>
    <w:rsid w:val="57465CC0"/>
    <w:rsid w:val="57C43270"/>
    <w:rsid w:val="5842250E"/>
    <w:rsid w:val="58A45365"/>
    <w:rsid w:val="58A64A6F"/>
    <w:rsid w:val="58FB2A55"/>
    <w:rsid w:val="59237C41"/>
    <w:rsid w:val="5956714B"/>
    <w:rsid w:val="5979412A"/>
    <w:rsid w:val="59915AB0"/>
    <w:rsid w:val="5A0103F9"/>
    <w:rsid w:val="5A3E630B"/>
    <w:rsid w:val="5A4A25DB"/>
    <w:rsid w:val="5A6A65A4"/>
    <w:rsid w:val="5A79073D"/>
    <w:rsid w:val="5AE238EA"/>
    <w:rsid w:val="5AFC3633"/>
    <w:rsid w:val="5B091E09"/>
    <w:rsid w:val="5B24369D"/>
    <w:rsid w:val="5B6E7544"/>
    <w:rsid w:val="5C184AF8"/>
    <w:rsid w:val="5C920E1C"/>
    <w:rsid w:val="5D4F4584"/>
    <w:rsid w:val="5D4F7AF9"/>
    <w:rsid w:val="5D876510"/>
    <w:rsid w:val="5DAE43A8"/>
    <w:rsid w:val="5DDF7A04"/>
    <w:rsid w:val="5EA03F87"/>
    <w:rsid w:val="5EBB4A54"/>
    <w:rsid w:val="5F086A78"/>
    <w:rsid w:val="5F3D21AF"/>
    <w:rsid w:val="60A21B70"/>
    <w:rsid w:val="60D22ECE"/>
    <w:rsid w:val="61C26006"/>
    <w:rsid w:val="61CA0093"/>
    <w:rsid w:val="61E3088D"/>
    <w:rsid w:val="623E5D5E"/>
    <w:rsid w:val="627F6C1F"/>
    <w:rsid w:val="63612B8F"/>
    <w:rsid w:val="642D6A8F"/>
    <w:rsid w:val="643D0230"/>
    <w:rsid w:val="64630480"/>
    <w:rsid w:val="6664204C"/>
    <w:rsid w:val="66A45992"/>
    <w:rsid w:val="66A64510"/>
    <w:rsid w:val="66C03FEB"/>
    <w:rsid w:val="678E15F5"/>
    <w:rsid w:val="68A84DF7"/>
    <w:rsid w:val="691A12EC"/>
    <w:rsid w:val="691F6480"/>
    <w:rsid w:val="693A4F63"/>
    <w:rsid w:val="69AE732F"/>
    <w:rsid w:val="69B84C76"/>
    <w:rsid w:val="6A091A4C"/>
    <w:rsid w:val="6A215B1A"/>
    <w:rsid w:val="6A3B2579"/>
    <w:rsid w:val="6A646122"/>
    <w:rsid w:val="6AAD1437"/>
    <w:rsid w:val="6AD5493E"/>
    <w:rsid w:val="6BC42D68"/>
    <w:rsid w:val="6BC85EA0"/>
    <w:rsid w:val="6C122032"/>
    <w:rsid w:val="6C21796C"/>
    <w:rsid w:val="6C236608"/>
    <w:rsid w:val="6DCE7748"/>
    <w:rsid w:val="6F102DFE"/>
    <w:rsid w:val="6F670871"/>
    <w:rsid w:val="6F7C363D"/>
    <w:rsid w:val="6FEA045F"/>
    <w:rsid w:val="70363DDB"/>
    <w:rsid w:val="704C5AB4"/>
    <w:rsid w:val="70AD4BB6"/>
    <w:rsid w:val="70D325D9"/>
    <w:rsid w:val="70DC5F2F"/>
    <w:rsid w:val="70FC5F80"/>
    <w:rsid w:val="72615039"/>
    <w:rsid w:val="72AE1153"/>
    <w:rsid w:val="72F30EA4"/>
    <w:rsid w:val="734F7283"/>
    <w:rsid w:val="7356581F"/>
    <w:rsid w:val="7364113F"/>
    <w:rsid w:val="738E23E3"/>
    <w:rsid w:val="74021463"/>
    <w:rsid w:val="74553E0D"/>
    <w:rsid w:val="74896965"/>
    <w:rsid w:val="75317EA0"/>
    <w:rsid w:val="756D51CA"/>
    <w:rsid w:val="757C2F91"/>
    <w:rsid w:val="75924204"/>
    <w:rsid w:val="75DE3223"/>
    <w:rsid w:val="75EE52D5"/>
    <w:rsid w:val="76CF0DC7"/>
    <w:rsid w:val="76D92A44"/>
    <w:rsid w:val="76F90C9E"/>
    <w:rsid w:val="771104B5"/>
    <w:rsid w:val="77361944"/>
    <w:rsid w:val="77595907"/>
    <w:rsid w:val="777A76B9"/>
    <w:rsid w:val="78247421"/>
    <w:rsid w:val="78C42481"/>
    <w:rsid w:val="79073514"/>
    <w:rsid w:val="79802C2A"/>
    <w:rsid w:val="7A2D5DE0"/>
    <w:rsid w:val="7A931657"/>
    <w:rsid w:val="7A9D7C45"/>
    <w:rsid w:val="7ACE5C4C"/>
    <w:rsid w:val="7AE114EF"/>
    <w:rsid w:val="7B34313E"/>
    <w:rsid w:val="7BA43F60"/>
    <w:rsid w:val="7C287E17"/>
    <w:rsid w:val="7CFF3FED"/>
    <w:rsid w:val="7D6619A8"/>
    <w:rsid w:val="7DD35622"/>
    <w:rsid w:val="7DD43167"/>
    <w:rsid w:val="7DE94A0E"/>
    <w:rsid w:val="7E973BA9"/>
    <w:rsid w:val="7EA2178C"/>
    <w:rsid w:val="7F8E2C9D"/>
    <w:rsid w:val="7F91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4"/>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customStyle="1" w:styleId="11">
    <w:name w:val="列出段落1"/>
    <w:basedOn w:val="1"/>
    <w:qFormat/>
    <w:uiPriority w:val="34"/>
    <w:pPr>
      <w:ind w:firstLine="420" w:firstLineChars="200"/>
    </w:pPr>
  </w:style>
  <w:style w:type="character" w:customStyle="1" w:styleId="12">
    <w:name w:val="批注框文本 Char"/>
    <w:basedOn w:val="8"/>
    <w:link w:val="2"/>
    <w:qFormat/>
    <w:uiPriority w:val="0"/>
    <w:rPr>
      <w:rFonts w:ascii="Calibri" w:hAnsi="Calibri"/>
      <w:kern w:val="2"/>
      <w:sz w:val="18"/>
      <w:szCs w:val="18"/>
    </w:rPr>
  </w:style>
  <w:style w:type="character" w:customStyle="1" w:styleId="13">
    <w:name w:val="页眉 Char"/>
    <w:basedOn w:val="8"/>
    <w:link w:val="4"/>
    <w:qFormat/>
    <w:uiPriority w:val="0"/>
    <w:rPr>
      <w:rFonts w:ascii="Calibri" w:hAnsi="Calibri"/>
      <w:kern w:val="2"/>
      <w:sz w:val="18"/>
      <w:szCs w:val="18"/>
    </w:rPr>
  </w:style>
  <w:style w:type="character" w:customStyle="1" w:styleId="14">
    <w:name w:val="页脚 Char"/>
    <w:basedOn w:val="8"/>
    <w:link w:val="3"/>
    <w:qFormat/>
    <w:uiPriority w:val="0"/>
    <w:rPr>
      <w:rFonts w:ascii="Calibri" w:hAnsi="Calibri"/>
      <w:kern w:val="2"/>
      <w:sz w:val="18"/>
      <w:szCs w:val="18"/>
    </w:rPr>
  </w:style>
  <w:style w:type="paragraph" w:styleId="15">
    <w:name w:val="List Paragraph"/>
    <w:basedOn w:val="1"/>
    <w:qFormat/>
    <w:uiPriority w:val="0"/>
    <w:pPr>
      <w:ind w:firstLine="420"/>
    </w:pPr>
  </w:style>
  <w:style w:type="paragraph" w:customStyle="1" w:styleId="16">
    <w:name w:val="页眉与页脚"/>
    <w:qFormat/>
    <w:uiPriority w:val="0"/>
    <w:pPr>
      <w:framePr w:wrap="around" w:vAnchor="margin" w:hAnchor="text" w:y="1"/>
      <w:tabs>
        <w:tab w:val="right" w:pos="9020"/>
      </w:tabs>
    </w:pPr>
    <w:rPr>
      <w:rFonts w:ascii="Helvetica Neue" w:hAnsi="Helvetica Neue" w:eastAsia="Arial Unicode MS" w:cs="Arial Unicode MS"/>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1193</Words>
  <Characters>6804</Characters>
  <Lines>56</Lines>
  <Paragraphs>15</Paragraphs>
  <TotalTime>11</TotalTime>
  <ScaleCrop>false</ScaleCrop>
  <LinksUpToDate>false</LinksUpToDate>
  <CharactersWithSpaces>7982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瑞嘉普大学</dc:creator>
  <cp:lastModifiedBy>18618310593</cp:lastModifiedBy>
  <dcterms:modified xsi:type="dcterms:W3CDTF">2020-12-30T01:59:14Z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RubyTemplateID" linkTarget="0">
    <vt:lpwstr>6</vt:lpwstr>
  </property>
</Properties>
</file>